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066" w14:textId="77777777" w:rsidR="008727AC" w:rsidRDefault="008727AC" w:rsidP="002F0A35">
      <w:pPr>
        <w:spacing w:after="0"/>
        <w:jc w:val="center"/>
        <w:rPr>
          <w:b/>
          <w:bCs/>
          <w:sz w:val="36"/>
          <w:szCs w:val="36"/>
          <w:lang w:val="en"/>
        </w:rPr>
      </w:pPr>
    </w:p>
    <w:p w14:paraId="12EBAC0B" w14:textId="00D6577A" w:rsidR="00845FAE" w:rsidRDefault="00C03192" w:rsidP="002F0A35">
      <w:pPr>
        <w:spacing w:after="0"/>
        <w:jc w:val="center"/>
        <w:rPr>
          <w:b/>
          <w:bCs/>
          <w:sz w:val="36"/>
          <w:szCs w:val="36"/>
          <w:lang w:val="en"/>
        </w:rPr>
      </w:pPr>
      <w:r>
        <w:rPr>
          <w:b/>
          <w:bCs/>
          <w:sz w:val="36"/>
          <w:szCs w:val="36"/>
          <w:lang w:val="en"/>
        </w:rPr>
        <w:t xml:space="preserve">Statutory Learning Reviews in Shropshire: </w:t>
      </w:r>
      <w:r w:rsidR="005A0C0E">
        <w:rPr>
          <w:b/>
          <w:bCs/>
          <w:sz w:val="36"/>
          <w:szCs w:val="36"/>
          <w:lang w:val="en"/>
        </w:rPr>
        <w:t>Local Child Safeguarding Practice Reviews</w:t>
      </w:r>
      <w:r w:rsidR="00B906A5">
        <w:rPr>
          <w:b/>
          <w:bCs/>
          <w:sz w:val="36"/>
          <w:szCs w:val="36"/>
          <w:lang w:val="en"/>
        </w:rPr>
        <w:t>,</w:t>
      </w:r>
      <w:r w:rsidR="005A0C0E">
        <w:rPr>
          <w:b/>
          <w:bCs/>
          <w:sz w:val="36"/>
          <w:szCs w:val="36"/>
          <w:lang w:val="en"/>
        </w:rPr>
        <w:t xml:space="preserve"> Safeguarding Adult Reviews </w:t>
      </w:r>
      <w:r w:rsidR="00B906A5">
        <w:rPr>
          <w:b/>
          <w:bCs/>
          <w:sz w:val="36"/>
          <w:szCs w:val="36"/>
          <w:lang w:val="en"/>
        </w:rPr>
        <w:t>and Domestic Homicide Reviews</w:t>
      </w:r>
      <w:r w:rsidR="002A5D74">
        <w:rPr>
          <w:b/>
          <w:bCs/>
          <w:sz w:val="36"/>
          <w:szCs w:val="36"/>
          <w:lang w:val="en"/>
        </w:rPr>
        <w:t>.</w:t>
      </w:r>
    </w:p>
    <w:p w14:paraId="1EDC2ECE" w14:textId="77777777" w:rsidR="00B906A5" w:rsidRDefault="00B906A5" w:rsidP="00B906A5">
      <w:pPr>
        <w:shd w:val="clear" w:color="auto" w:fill="FFFFFF" w:themeFill="background1"/>
        <w:rPr>
          <w:rFonts w:asciiTheme="majorHAnsi" w:hAnsiTheme="majorHAnsi" w:cstheme="majorHAnsi"/>
          <w:b/>
          <w:sz w:val="28"/>
          <w:szCs w:val="32"/>
        </w:rPr>
      </w:pPr>
      <w:r>
        <w:rPr>
          <w:rFonts w:asciiTheme="majorHAnsi" w:hAnsiTheme="majorHAnsi" w:cstheme="majorHAnsi"/>
          <w:b/>
          <w:sz w:val="28"/>
          <w:szCs w:val="32"/>
        </w:rPr>
        <w:t>In order to conduct statutory learning reviews; Shropshire Safeguarding Community Partnership (SSCP):</w:t>
      </w:r>
    </w:p>
    <w:p w14:paraId="7FFC62C2" w14:textId="77777777" w:rsidR="00B906A5" w:rsidRPr="00B906A5" w:rsidRDefault="00B906A5" w:rsidP="00B906A5">
      <w:pPr>
        <w:pStyle w:val="ListParagraph"/>
        <w:numPr>
          <w:ilvl w:val="0"/>
          <w:numId w:val="5"/>
        </w:numPr>
        <w:shd w:val="clear" w:color="auto" w:fill="FFFFFF" w:themeFill="background1"/>
        <w:rPr>
          <w:rFonts w:asciiTheme="majorHAnsi" w:hAnsiTheme="majorHAnsi" w:cstheme="majorHAnsi"/>
          <w:b/>
          <w:sz w:val="28"/>
          <w:szCs w:val="32"/>
        </w:rPr>
      </w:pPr>
      <w:r>
        <w:rPr>
          <w:rFonts w:asciiTheme="majorHAnsi" w:hAnsiTheme="majorHAnsi" w:cstheme="majorHAnsi"/>
          <w:b/>
          <w:sz w:val="28"/>
          <w:szCs w:val="32"/>
        </w:rPr>
        <w:t>Have a</w:t>
      </w:r>
      <w:r w:rsidRPr="00B906A5">
        <w:rPr>
          <w:rFonts w:asciiTheme="majorHAnsi" w:hAnsiTheme="majorHAnsi" w:cstheme="majorHAnsi"/>
          <w:b/>
          <w:sz w:val="28"/>
          <w:szCs w:val="32"/>
        </w:rPr>
        <w:t>dopted* the West Midlands Regional:</w:t>
      </w:r>
    </w:p>
    <w:p w14:paraId="1065A916" w14:textId="77777777" w:rsidR="00B906A5" w:rsidRDefault="008C2B62" w:rsidP="00B906A5">
      <w:pPr>
        <w:pStyle w:val="ListParagraph"/>
        <w:numPr>
          <w:ilvl w:val="1"/>
          <w:numId w:val="5"/>
        </w:numPr>
        <w:shd w:val="clear" w:color="auto" w:fill="FFFFFF" w:themeFill="background1"/>
        <w:rPr>
          <w:rFonts w:asciiTheme="majorHAnsi" w:hAnsiTheme="majorHAnsi" w:cstheme="majorHAnsi"/>
          <w:b/>
          <w:sz w:val="28"/>
          <w:szCs w:val="32"/>
        </w:rPr>
      </w:pPr>
      <w:hyperlink r:id="rId11" w:anchor="s3907" w:history="1">
        <w:r w:rsidR="00B906A5" w:rsidRPr="00D46D6D">
          <w:rPr>
            <w:rStyle w:val="Hyperlink"/>
            <w:rFonts w:asciiTheme="majorHAnsi" w:hAnsiTheme="majorHAnsi" w:cstheme="majorHAnsi"/>
            <w:b/>
            <w:sz w:val="28"/>
            <w:szCs w:val="32"/>
          </w:rPr>
          <w:t>Local Child Safeguarding Practice Review Framework and Practice Guidance</w:t>
        </w:r>
      </w:hyperlink>
      <w:r w:rsidR="00B906A5">
        <w:rPr>
          <w:rFonts w:asciiTheme="majorHAnsi" w:hAnsiTheme="majorHAnsi" w:cstheme="majorHAnsi"/>
          <w:b/>
          <w:sz w:val="28"/>
          <w:szCs w:val="32"/>
        </w:rPr>
        <w:t xml:space="preserve"> </w:t>
      </w:r>
    </w:p>
    <w:p w14:paraId="2714672B" w14:textId="77777777" w:rsidR="00B906A5" w:rsidRPr="005A0C0E" w:rsidRDefault="008C2B62" w:rsidP="00B906A5">
      <w:pPr>
        <w:pStyle w:val="ListParagraph"/>
        <w:numPr>
          <w:ilvl w:val="1"/>
          <w:numId w:val="5"/>
        </w:numPr>
        <w:shd w:val="clear" w:color="auto" w:fill="FFFFFF" w:themeFill="background1"/>
        <w:rPr>
          <w:rFonts w:asciiTheme="majorHAnsi" w:hAnsiTheme="majorHAnsi" w:cstheme="majorHAnsi"/>
          <w:b/>
          <w:sz w:val="28"/>
          <w:szCs w:val="32"/>
        </w:rPr>
      </w:pPr>
      <w:hyperlink r:id="rId12" w:history="1">
        <w:r w:rsidR="00B906A5" w:rsidRPr="0059144E">
          <w:rPr>
            <w:rStyle w:val="Hyperlink"/>
            <w:rFonts w:asciiTheme="majorHAnsi" w:hAnsiTheme="majorHAnsi" w:cstheme="majorHAnsi"/>
            <w:b/>
            <w:sz w:val="28"/>
            <w:szCs w:val="32"/>
          </w:rPr>
          <w:t>Safeguarding Adult Review (SAR) Policy</w:t>
        </w:r>
      </w:hyperlink>
      <w:r w:rsidR="00B906A5" w:rsidRPr="005A0C0E">
        <w:rPr>
          <w:rFonts w:asciiTheme="majorHAnsi" w:hAnsiTheme="majorHAnsi" w:cstheme="majorHAnsi"/>
          <w:b/>
          <w:sz w:val="28"/>
          <w:szCs w:val="32"/>
        </w:rPr>
        <w:t>.</w:t>
      </w:r>
    </w:p>
    <w:p w14:paraId="54C69C9C" w14:textId="00B6C5B1" w:rsidR="00B906A5" w:rsidRDefault="00B906A5" w:rsidP="00B906A5">
      <w:pPr>
        <w:ind w:left="1140"/>
        <w:rPr>
          <w:rFonts w:asciiTheme="majorHAnsi" w:hAnsiTheme="majorHAnsi" w:cstheme="majorHAnsi"/>
          <w:b/>
          <w:bCs/>
        </w:rPr>
      </w:pPr>
      <w:r w:rsidRPr="00E36B0F">
        <w:rPr>
          <w:rFonts w:asciiTheme="majorHAnsi" w:hAnsiTheme="majorHAnsi" w:cstheme="majorHAnsi"/>
          <w:b/>
          <w:bCs/>
        </w:rPr>
        <w:t>*SS</w:t>
      </w:r>
      <w:r>
        <w:rPr>
          <w:rFonts w:asciiTheme="majorHAnsi" w:hAnsiTheme="majorHAnsi" w:cstheme="majorHAnsi"/>
          <w:b/>
          <w:bCs/>
        </w:rPr>
        <w:t>C</w:t>
      </w:r>
      <w:r w:rsidRPr="00E36B0F">
        <w:rPr>
          <w:rFonts w:asciiTheme="majorHAnsi" w:hAnsiTheme="majorHAnsi" w:cstheme="majorHAnsi"/>
          <w:b/>
          <w:bCs/>
        </w:rPr>
        <w:t xml:space="preserve">P </w:t>
      </w:r>
      <w:r w:rsidR="00AA0299">
        <w:rPr>
          <w:rFonts w:asciiTheme="majorHAnsi" w:hAnsiTheme="majorHAnsi" w:cstheme="majorHAnsi"/>
          <w:b/>
          <w:bCs/>
        </w:rPr>
        <w:t xml:space="preserve">Business Unit </w:t>
      </w:r>
      <w:r w:rsidRPr="00E36B0F">
        <w:rPr>
          <w:rFonts w:asciiTheme="majorHAnsi" w:hAnsiTheme="majorHAnsi" w:cstheme="majorHAnsi"/>
          <w:b/>
          <w:bCs/>
        </w:rPr>
        <w:t xml:space="preserve">reserves the right to adapt supporting templates </w:t>
      </w:r>
      <w:r>
        <w:rPr>
          <w:rFonts w:asciiTheme="majorHAnsi" w:hAnsiTheme="majorHAnsi" w:cstheme="majorHAnsi"/>
          <w:b/>
          <w:bCs/>
        </w:rPr>
        <w:t>attached to</w:t>
      </w:r>
      <w:r w:rsidRPr="00E36B0F">
        <w:rPr>
          <w:rFonts w:asciiTheme="majorHAnsi" w:hAnsiTheme="majorHAnsi" w:cstheme="majorHAnsi"/>
          <w:b/>
          <w:bCs/>
        </w:rPr>
        <w:t xml:space="preserve"> regional policies to meet local need and arrangements</w:t>
      </w:r>
      <w:r>
        <w:rPr>
          <w:rFonts w:asciiTheme="majorHAnsi" w:hAnsiTheme="majorHAnsi" w:cstheme="majorHAnsi"/>
          <w:b/>
          <w:bCs/>
        </w:rPr>
        <w:t>.</w:t>
      </w:r>
    </w:p>
    <w:p w14:paraId="6272EB28" w14:textId="77777777" w:rsidR="00B906A5" w:rsidRPr="00B906A5" w:rsidRDefault="00B906A5" w:rsidP="00B906A5">
      <w:pPr>
        <w:pStyle w:val="ListParagraph"/>
        <w:numPr>
          <w:ilvl w:val="0"/>
          <w:numId w:val="5"/>
        </w:numPr>
        <w:rPr>
          <w:rFonts w:asciiTheme="majorHAnsi" w:hAnsiTheme="majorHAnsi" w:cstheme="majorHAnsi"/>
          <w:b/>
          <w:bCs/>
        </w:rPr>
      </w:pPr>
      <w:r>
        <w:rPr>
          <w:rFonts w:asciiTheme="majorHAnsi" w:hAnsiTheme="majorHAnsi" w:cstheme="majorHAnsi"/>
          <w:b/>
          <w:bCs/>
          <w:sz w:val="28"/>
          <w:szCs w:val="28"/>
        </w:rPr>
        <w:t xml:space="preserve">Follow the </w:t>
      </w:r>
      <w:hyperlink r:id="rId13" w:history="1">
        <w:r w:rsidRPr="00B906A5">
          <w:rPr>
            <w:rStyle w:val="Hyperlink"/>
            <w:rFonts w:asciiTheme="majorHAnsi" w:hAnsiTheme="majorHAnsi" w:cstheme="majorHAnsi"/>
            <w:b/>
            <w:bCs/>
            <w:sz w:val="28"/>
            <w:szCs w:val="28"/>
          </w:rPr>
          <w:t>Home Office Multi-agency statutory guidance for the conduct of domestic homicide reviews</w:t>
        </w:r>
      </w:hyperlink>
    </w:p>
    <w:p w14:paraId="6DB4393E" w14:textId="77777777" w:rsidR="00B906A5" w:rsidRPr="00E36B0F" w:rsidRDefault="00B906A5" w:rsidP="00B906A5">
      <w:pPr>
        <w:rPr>
          <w:rFonts w:cstheme="minorHAnsi"/>
          <w:b/>
          <w:bCs/>
          <w:u w:val="single"/>
        </w:rPr>
      </w:pPr>
      <w:r w:rsidRPr="00E36B0F">
        <w:rPr>
          <w:rFonts w:cstheme="minorHAnsi"/>
          <w:b/>
          <w:bCs/>
          <w:u w:val="single"/>
        </w:rPr>
        <w:t>Arrangements for considering and conducting statutory reviews</w:t>
      </w:r>
    </w:p>
    <w:p w14:paraId="3604E5F4" w14:textId="77777777" w:rsidR="00B906A5" w:rsidRPr="00E36B0F" w:rsidRDefault="00B906A5" w:rsidP="00B906A5">
      <w:pPr>
        <w:rPr>
          <w:rFonts w:cstheme="minorHAnsi"/>
        </w:rPr>
      </w:pPr>
      <w:r>
        <w:rPr>
          <w:rFonts w:cstheme="minorHAnsi"/>
        </w:rPr>
        <w:t xml:space="preserve">Shropshire Safeguarding Community Partnership’s Joint Case Review Group: reviews all suitable referrals to consider statutory reviews; makes recommendations relating to statutory reviews to the SSCP and its Independent Chair; and oversees the statutory review process once agreed. This activity is supported by the SSCP Business Unit. For an overview of the local </w:t>
      </w:r>
      <w:proofErr w:type="gramStart"/>
      <w:r>
        <w:rPr>
          <w:rFonts w:cstheme="minorHAnsi"/>
        </w:rPr>
        <w:t>process;</w:t>
      </w:r>
      <w:proofErr w:type="gramEnd"/>
      <w:r>
        <w:rPr>
          <w:rFonts w:cstheme="minorHAnsi"/>
        </w:rPr>
        <w:t xml:space="preserve"> please see the </w:t>
      </w:r>
      <w:r w:rsidRPr="00425D51">
        <w:rPr>
          <w:rFonts w:cstheme="minorHAnsi"/>
        </w:rPr>
        <w:t xml:space="preserve">Shropshire </w:t>
      </w:r>
      <w:r>
        <w:rPr>
          <w:rFonts w:cstheme="minorHAnsi"/>
        </w:rPr>
        <w:t>Statutory Learning Review</w:t>
      </w:r>
      <w:r w:rsidRPr="00425D51">
        <w:rPr>
          <w:rFonts w:cstheme="minorHAnsi"/>
        </w:rPr>
        <w:t xml:space="preserve"> Process</w:t>
      </w:r>
      <w:r>
        <w:rPr>
          <w:rFonts w:cstheme="minorHAnsi"/>
        </w:rPr>
        <w:t xml:space="preserve"> </w:t>
      </w:r>
      <w:r w:rsidRPr="00425D51">
        <w:rPr>
          <w:rFonts w:cstheme="minorHAnsi"/>
        </w:rPr>
        <w:t>Flowchart</w:t>
      </w:r>
      <w:r>
        <w:rPr>
          <w:rFonts w:cstheme="minorHAnsi"/>
        </w:rPr>
        <w:t>.</w:t>
      </w:r>
    </w:p>
    <w:p w14:paraId="74F680CD" w14:textId="77777777" w:rsidR="00B906A5" w:rsidRPr="00E36B0F" w:rsidRDefault="00B906A5" w:rsidP="00B906A5">
      <w:pPr>
        <w:rPr>
          <w:rFonts w:cstheme="minorHAnsi"/>
          <w:b/>
          <w:bCs/>
        </w:rPr>
      </w:pPr>
      <w:r w:rsidRPr="00E36B0F">
        <w:rPr>
          <w:rFonts w:cstheme="minorHAnsi"/>
          <w:b/>
          <w:bCs/>
          <w:u w:val="single"/>
        </w:rPr>
        <w:t xml:space="preserve">Notification and referral to the Shropshire Safeguarding </w:t>
      </w:r>
      <w:r>
        <w:rPr>
          <w:rFonts w:cstheme="minorHAnsi"/>
          <w:b/>
          <w:bCs/>
          <w:u w:val="single"/>
        </w:rPr>
        <w:t xml:space="preserve">Community </w:t>
      </w:r>
      <w:r w:rsidRPr="00E36B0F">
        <w:rPr>
          <w:rFonts w:cstheme="minorHAnsi"/>
          <w:b/>
          <w:bCs/>
          <w:u w:val="single"/>
        </w:rPr>
        <w:t>Partnership</w:t>
      </w:r>
    </w:p>
    <w:p w14:paraId="2FB83D66" w14:textId="77777777" w:rsidR="00B906A5" w:rsidRDefault="00B906A5" w:rsidP="00B906A5">
      <w:pPr>
        <w:rPr>
          <w:rFonts w:cstheme="minorHAnsi"/>
        </w:rPr>
      </w:pPr>
      <w:r>
        <w:rPr>
          <w:rFonts w:cstheme="minorHAnsi"/>
        </w:rPr>
        <w:t xml:space="preserve">Partners across the Shropshire Safeguarding Community Partnership Networks must refer any cases that they consider meets the referral criteria below to the SSCP Business Unit within 5 working days of becoming aware of the incident. A </w:t>
      </w:r>
      <w:r w:rsidRPr="00425D51">
        <w:rPr>
          <w:rFonts w:cstheme="minorHAnsi"/>
        </w:rPr>
        <w:t>referral form</w:t>
      </w:r>
      <w:r>
        <w:rPr>
          <w:rFonts w:cstheme="minorHAnsi"/>
          <w:i/>
          <w:iCs/>
        </w:rPr>
        <w:t xml:space="preserve"> </w:t>
      </w:r>
      <w:r>
        <w:rPr>
          <w:rFonts w:cstheme="minorHAnsi"/>
        </w:rPr>
        <w:t xml:space="preserve">must be completed and sent securely to </w:t>
      </w:r>
      <w:hyperlink r:id="rId14" w:history="1">
        <w:r w:rsidRPr="00E302FD">
          <w:rPr>
            <w:rStyle w:val="Hyperlink"/>
            <w:rFonts w:cstheme="minorHAnsi"/>
          </w:rPr>
          <w:t>SSCPBusinessUnit@shropshire.gov.uk</w:t>
        </w:r>
      </w:hyperlink>
      <w:r>
        <w:rPr>
          <w:rFonts w:cstheme="minorHAnsi"/>
        </w:rPr>
        <w:t xml:space="preserve"> </w:t>
      </w:r>
    </w:p>
    <w:p w14:paraId="2D4CA552" w14:textId="6401B985" w:rsidR="00B906A5" w:rsidRPr="00B906A5" w:rsidRDefault="00B906A5" w:rsidP="00B906A5">
      <w:pPr>
        <w:rPr>
          <w:rFonts w:cstheme="minorHAnsi"/>
          <w:b/>
          <w:bCs/>
        </w:rPr>
      </w:pPr>
      <w:r w:rsidRPr="00E36B0F">
        <w:rPr>
          <w:rFonts w:cstheme="minorHAnsi"/>
          <w:b/>
          <w:bCs/>
        </w:rPr>
        <w:t>Referral Criteri</w:t>
      </w:r>
      <w:r>
        <w:rPr>
          <w:rFonts w:cstheme="minorHAnsi"/>
          <w:b/>
          <w:bCs/>
        </w:rPr>
        <w:t>a</w:t>
      </w:r>
    </w:p>
    <w:tbl>
      <w:tblPr>
        <w:tblStyle w:val="TableGrid"/>
        <w:tblpPr w:leftFromText="180" w:rightFromText="180" w:vertAnchor="text" w:horzAnchor="margin" w:tblpY="249"/>
        <w:tblW w:w="10769" w:type="dxa"/>
        <w:tblLook w:val="0420" w:firstRow="1" w:lastRow="0" w:firstColumn="0" w:lastColumn="0" w:noHBand="0" w:noVBand="1"/>
      </w:tblPr>
      <w:tblGrid>
        <w:gridCol w:w="10769"/>
      </w:tblGrid>
      <w:tr w:rsidR="00B906A5" w:rsidRPr="00B906A5" w14:paraId="201EFBAC" w14:textId="77777777" w:rsidTr="2B7B78E0">
        <w:tc>
          <w:tcPr>
            <w:tcW w:w="10769" w:type="dxa"/>
          </w:tcPr>
          <w:p w14:paraId="2DDA05D8" w14:textId="77777777" w:rsidR="00B906A5" w:rsidRPr="00B906A5" w:rsidRDefault="00B906A5" w:rsidP="00B906A5">
            <w:pPr>
              <w:spacing w:after="120"/>
              <w:ind w:right="-897"/>
              <w:jc w:val="both"/>
              <w:rPr>
                <w:rFonts w:eastAsia="Arial" w:cstheme="minorHAnsi"/>
                <w:b/>
                <w:color w:val="2F5496"/>
                <w:u w:val="single"/>
              </w:rPr>
            </w:pPr>
            <w:r w:rsidRPr="00B906A5">
              <w:rPr>
                <w:rFonts w:eastAsia="Arial" w:cstheme="minorHAnsi"/>
                <w:b/>
                <w:color w:val="2F5496"/>
                <w:u w:val="single"/>
              </w:rPr>
              <w:t>Children (Rapid Review Criteria)</w:t>
            </w:r>
          </w:p>
        </w:tc>
      </w:tr>
      <w:tr w:rsidR="00B906A5" w:rsidRPr="00B906A5" w14:paraId="01B661E3" w14:textId="77777777" w:rsidTr="2B7B78E0">
        <w:tc>
          <w:tcPr>
            <w:tcW w:w="10769" w:type="dxa"/>
          </w:tcPr>
          <w:p w14:paraId="5FA9C4E8" w14:textId="77777777" w:rsidR="00B906A5" w:rsidRPr="00B906A5" w:rsidRDefault="00B906A5" w:rsidP="00B906A5">
            <w:pPr>
              <w:ind w:right="11"/>
              <w:jc w:val="both"/>
              <w:rPr>
                <w:rFonts w:eastAsia="Arial" w:cstheme="minorHAnsi"/>
              </w:rPr>
            </w:pPr>
            <w:r w:rsidRPr="00B906A5">
              <w:rPr>
                <w:rFonts w:eastAsia="Arial" w:cstheme="minorHAnsi"/>
              </w:rPr>
              <w:t xml:space="preserve">Any serious incident which they think should be considered for a Child Safeguarding Practice Review. Serious child safeguarding cases are those in which: </w:t>
            </w:r>
          </w:p>
          <w:p w14:paraId="0EF3E6CE" w14:textId="77777777" w:rsidR="00B906A5" w:rsidRPr="00B906A5" w:rsidRDefault="00B906A5" w:rsidP="00B906A5">
            <w:pPr>
              <w:ind w:right="11"/>
              <w:jc w:val="both"/>
              <w:rPr>
                <w:rFonts w:eastAsia="Arial" w:cstheme="minorHAnsi"/>
                <w:b/>
                <w:i/>
              </w:rPr>
            </w:pPr>
          </w:p>
          <w:p w14:paraId="3DEA1D3D" w14:textId="77777777" w:rsidR="00B906A5" w:rsidRPr="00B906A5" w:rsidRDefault="00B906A5" w:rsidP="00B906A5">
            <w:pPr>
              <w:numPr>
                <w:ilvl w:val="0"/>
                <w:numId w:val="6"/>
              </w:numPr>
              <w:ind w:right="11"/>
              <w:contextualSpacing/>
              <w:rPr>
                <w:rFonts w:eastAsia="Arial" w:cstheme="minorHAnsi"/>
              </w:rPr>
            </w:pPr>
            <w:r w:rsidRPr="00B906A5">
              <w:rPr>
                <w:rFonts w:eastAsia="Arial" w:cstheme="minorHAnsi"/>
              </w:rPr>
              <w:t xml:space="preserve">abuse or neglect of a child is known or suspected </w:t>
            </w:r>
            <w:r w:rsidRPr="00B906A5">
              <w:rPr>
                <w:rFonts w:eastAsia="Arial" w:cstheme="minorHAnsi"/>
                <w:b/>
                <w:u w:val="single"/>
              </w:rPr>
              <w:t xml:space="preserve">and </w:t>
            </w:r>
            <w:r w:rsidRPr="00B906A5">
              <w:rPr>
                <w:rFonts w:eastAsia="Arial" w:cstheme="minorHAnsi"/>
              </w:rPr>
              <w:t xml:space="preserve"> </w:t>
            </w:r>
          </w:p>
          <w:p w14:paraId="59709409" w14:textId="77777777" w:rsidR="00B906A5" w:rsidRPr="00B906A5" w:rsidRDefault="00B906A5" w:rsidP="00B906A5">
            <w:pPr>
              <w:numPr>
                <w:ilvl w:val="0"/>
                <w:numId w:val="6"/>
              </w:numPr>
              <w:ind w:right="11"/>
              <w:contextualSpacing/>
              <w:rPr>
                <w:rFonts w:eastAsia="Arial" w:cstheme="minorHAnsi"/>
              </w:rPr>
            </w:pPr>
            <w:r w:rsidRPr="00B906A5">
              <w:rPr>
                <w:rFonts w:eastAsia="Arial" w:cstheme="minorHAnsi"/>
              </w:rPr>
              <w:t>the child has died or been seriously harmed*</w:t>
            </w:r>
          </w:p>
          <w:p w14:paraId="4EEC062B" w14:textId="77777777" w:rsidR="00B906A5" w:rsidRPr="00B906A5" w:rsidRDefault="00B906A5" w:rsidP="00B906A5">
            <w:pPr>
              <w:spacing w:after="120"/>
              <w:ind w:right="11"/>
              <w:jc w:val="both"/>
              <w:rPr>
                <w:rFonts w:eastAsia="Arial" w:cstheme="minorHAnsi"/>
              </w:rPr>
            </w:pPr>
          </w:p>
          <w:p w14:paraId="262A72BD" w14:textId="77777777" w:rsidR="00B906A5" w:rsidRDefault="00B906A5" w:rsidP="00B906A5">
            <w:pPr>
              <w:spacing w:after="120"/>
              <w:ind w:right="11"/>
              <w:jc w:val="both"/>
              <w:rPr>
                <w:rFonts w:eastAsia="Arial" w:cstheme="minorHAnsi"/>
              </w:rPr>
            </w:pPr>
            <w:r w:rsidRPr="00B906A5">
              <w:rPr>
                <w:rFonts w:eastAsia="Arial" w:cstheme="minorHAnsi"/>
              </w:rPr>
              <w:t xml:space="preserve">*Serious harm includes (but is not limited to) serious and/or long-term impairment of a child’s mental health or intellectual, emotional, </w:t>
            </w:r>
            <w:proofErr w:type="gramStart"/>
            <w:r w:rsidRPr="00B906A5">
              <w:rPr>
                <w:rFonts w:eastAsia="Arial" w:cstheme="minorHAnsi"/>
              </w:rPr>
              <w:t>social</w:t>
            </w:r>
            <w:proofErr w:type="gramEnd"/>
            <w:r w:rsidRPr="00B906A5">
              <w:rPr>
                <w:rFonts w:eastAsia="Arial" w:cstheme="minorHAnsi"/>
              </w:rPr>
              <w:t xml:space="preserve"> or behavioural development. It should also cover impairment of physical health</w:t>
            </w:r>
            <w:r w:rsidRPr="00B906A5">
              <w:rPr>
                <w:rFonts w:eastAsia="Arial" w:cstheme="minorHAnsi"/>
                <w:vertAlign w:val="superscript"/>
              </w:rPr>
              <w:footnoteReference w:id="1"/>
            </w:r>
            <w:r w:rsidRPr="00B906A5">
              <w:rPr>
                <w:rFonts w:eastAsia="Arial" w:cstheme="minorHAnsi"/>
              </w:rPr>
              <w:t>.</w:t>
            </w:r>
          </w:p>
          <w:p w14:paraId="6EE71784" w14:textId="77777777" w:rsidR="00B906A5" w:rsidRDefault="00B906A5" w:rsidP="00B906A5">
            <w:pPr>
              <w:spacing w:after="120"/>
              <w:ind w:right="11"/>
              <w:jc w:val="both"/>
              <w:rPr>
                <w:rFonts w:eastAsia="Arial" w:cstheme="minorHAnsi"/>
                <w:color w:val="2F5496"/>
                <w:u w:val="single"/>
              </w:rPr>
            </w:pPr>
          </w:p>
          <w:p w14:paraId="4FB584D9" w14:textId="458087D0" w:rsidR="00B906A5" w:rsidRPr="00B906A5" w:rsidRDefault="00B906A5" w:rsidP="00B906A5">
            <w:pPr>
              <w:spacing w:after="120"/>
              <w:ind w:right="11"/>
              <w:jc w:val="both"/>
              <w:rPr>
                <w:rFonts w:eastAsia="Arial" w:cstheme="minorHAnsi"/>
                <w:b/>
                <w:color w:val="2F5496"/>
                <w:u w:val="single"/>
              </w:rPr>
            </w:pPr>
          </w:p>
        </w:tc>
      </w:tr>
      <w:tr w:rsidR="00B906A5" w:rsidRPr="00B906A5" w14:paraId="209AE920" w14:textId="77777777" w:rsidTr="2B7B78E0">
        <w:tc>
          <w:tcPr>
            <w:tcW w:w="10769" w:type="dxa"/>
          </w:tcPr>
          <w:p w14:paraId="4CD5E7E7" w14:textId="77777777" w:rsidR="00B906A5" w:rsidRPr="00B906A5" w:rsidRDefault="00B906A5" w:rsidP="00B906A5">
            <w:pPr>
              <w:widowControl w:val="0"/>
              <w:autoSpaceDE w:val="0"/>
              <w:autoSpaceDN w:val="0"/>
              <w:adjustRightInd w:val="0"/>
              <w:rPr>
                <w:rFonts w:eastAsia="Arial" w:cstheme="minorHAnsi"/>
                <w:b/>
                <w:color w:val="2F5496"/>
                <w:u w:val="single"/>
              </w:rPr>
            </w:pPr>
            <w:r w:rsidRPr="00B906A5">
              <w:rPr>
                <w:rFonts w:eastAsia="Arial" w:cstheme="minorHAnsi"/>
                <w:b/>
                <w:color w:val="2F5496"/>
                <w:u w:val="single"/>
              </w:rPr>
              <w:lastRenderedPageBreak/>
              <w:t>Safeguarding Adults Review Criteria</w:t>
            </w:r>
          </w:p>
          <w:p w14:paraId="452E69BA" w14:textId="77777777" w:rsidR="00B906A5" w:rsidRPr="00B906A5" w:rsidRDefault="00B906A5" w:rsidP="00B906A5">
            <w:pPr>
              <w:widowControl w:val="0"/>
              <w:autoSpaceDE w:val="0"/>
              <w:autoSpaceDN w:val="0"/>
              <w:adjustRightInd w:val="0"/>
              <w:ind w:right="294"/>
              <w:rPr>
                <w:rFonts w:cstheme="minorHAnsi"/>
              </w:rPr>
            </w:pPr>
          </w:p>
        </w:tc>
      </w:tr>
      <w:tr w:rsidR="00B906A5" w:rsidRPr="00B906A5" w14:paraId="61F06DE9" w14:textId="77777777" w:rsidTr="2B7B78E0">
        <w:tc>
          <w:tcPr>
            <w:tcW w:w="10769" w:type="dxa"/>
          </w:tcPr>
          <w:p w14:paraId="71EE4152" w14:textId="77777777" w:rsidR="00B906A5" w:rsidRPr="00B906A5" w:rsidRDefault="00B906A5" w:rsidP="00B906A5">
            <w:pPr>
              <w:widowControl w:val="0"/>
              <w:autoSpaceDE w:val="0"/>
              <w:autoSpaceDN w:val="0"/>
              <w:adjustRightInd w:val="0"/>
              <w:rPr>
                <w:rFonts w:cstheme="minorHAnsi"/>
              </w:rPr>
            </w:pPr>
          </w:p>
          <w:p w14:paraId="5C4CD8AE" w14:textId="77777777" w:rsidR="00B906A5" w:rsidRPr="00B906A5" w:rsidRDefault="00B906A5" w:rsidP="00B906A5">
            <w:pPr>
              <w:pStyle w:val="ListParagraph"/>
              <w:widowControl w:val="0"/>
              <w:numPr>
                <w:ilvl w:val="0"/>
                <w:numId w:val="7"/>
              </w:numPr>
              <w:autoSpaceDE w:val="0"/>
              <w:autoSpaceDN w:val="0"/>
              <w:adjustRightInd w:val="0"/>
              <w:ind w:left="567" w:hanging="567"/>
              <w:rPr>
                <w:rFonts w:eastAsia="Arial" w:cstheme="minorHAnsi"/>
              </w:rPr>
            </w:pPr>
            <w:r w:rsidRPr="00B906A5">
              <w:rPr>
                <w:rFonts w:eastAsia="Arial" w:cstheme="minorHAnsi"/>
              </w:rPr>
              <w:t>An adult in its area with needs for care and support (whether or not the local authority has been meeting any of those needs) if:</w:t>
            </w:r>
          </w:p>
          <w:p w14:paraId="0B2168A6" w14:textId="77777777" w:rsidR="00B906A5" w:rsidRPr="00B906A5" w:rsidRDefault="00B906A5" w:rsidP="00B906A5">
            <w:pPr>
              <w:pStyle w:val="ListParagraph"/>
              <w:widowControl w:val="0"/>
              <w:numPr>
                <w:ilvl w:val="0"/>
                <w:numId w:val="8"/>
              </w:numPr>
              <w:autoSpaceDE w:val="0"/>
              <w:autoSpaceDN w:val="0"/>
              <w:adjustRightInd w:val="0"/>
              <w:ind w:left="1134" w:hanging="567"/>
              <w:rPr>
                <w:rFonts w:eastAsia="Arial" w:cstheme="minorHAnsi"/>
              </w:rPr>
            </w:pPr>
            <w:r w:rsidRPr="00B906A5">
              <w:rPr>
                <w:rFonts w:eastAsia="Arial" w:cstheme="minorHAnsi"/>
              </w:rPr>
              <w:t>There is reasonable cause for concern about how the SAB, members of it or other persons with relevant functions worked together to safeguarding the adult</w:t>
            </w:r>
          </w:p>
          <w:p w14:paraId="1BB86F30" w14:textId="77777777" w:rsidR="00B906A5" w:rsidRPr="00B906A5" w:rsidRDefault="00B906A5" w:rsidP="00B906A5">
            <w:pPr>
              <w:pStyle w:val="ListParagraph"/>
              <w:widowControl w:val="0"/>
              <w:autoSpaceDE w:val="0"/>
              <w:autoSpaceDN w:val="0"/>
              <w:adjustRightInd w:val="0"/>
              <w:ind w:left="1134" w:hanging="567"/>
              <w:rPr>
                <w:rFonts w:eastAsia="Arial" w:cstheme="minorHAnsi"/>
              </w:rPr>
            </w:pPr>
            <w:r w:rsidRPr="00B906A5">
              <w:rPr>
                <w:rFonts w:eastAsia="Arial" w:cstheme="minorHAnsi"/>
              </w:rPr>
              <w:t>And</w:t>
            </w:r>
          </w:p>
          <w:p w14:paraId="0D8E57D6" w14:textId="77777777" w:rsidR="00B906A5" w:rsidRPr="00B906A5" w:rsidRDefault="00B906A5" w:rsidP="00B906A5">
            <w:pPr>
              <w:pStyle w:val="ListParagraph"/>
              <w:widowControl w:val="0"/>
              <w:numPr>
                <w:ilvl w:val="0"/>
                <w:numId w:val="8"/>
              </w:numPr>
              <w:autoSpaceDE w:val="0"/>
              <w:autoSpaceDN w:val="0"/>
              <w:adjustRightInd w:val="0"/>
              <w:ind w:left="1134" w:hanging="567"/>
              <w:rPr>
                <w:rFonts w:eastAsia="Arial" w:cstheme="minorHAnsi"/>
              </w:rPr>
            </w:pPr>
            <w:r w:rsidRPr="00B906A5">
              <w:rPr>
                <w:rFonts w:eastAsia="Arial" w:cstheme="minorHAnsi"/>
              </w:rPr>
              <w:t>Either of the following conditions are met –</w:t>
            </w:r>
          </w:p>
          <w:p w14:paraId="28CC6697" w14:textId="77777777" w:rsidR="00B906A5" w:rsidRPr="00B906A5" w:rsidRDefault="00B906A5" w:rsidP="00B906A5">
            <w:pPr>
              <w:pStyle w:val="ListParagraph"/>
              <w:widowControl w:val="0"/>
              <w:autoSpaceDE w:val="0"/>
              <w:autoSpaceDN w:val="0"/>
              <w:adjustRightInd w:val="0"/>
              <w:ind w:left="1134"/>
              <w:rPr>
                <w:rFonts w:eastAsia="Arial" w:cstheme="minorHAnsi"/>
              </w:rPr>
            </w:pPr>
          </w:p>
          <w:p w14:paraId="44886B06" w14:textId="77777777" w:rsidR="00B906A5" w:rsidRPr="00B906A5" w:rsidRDefault="00B906A5" w:rsidP="00B906A5">
            <w:pPr>
              <w:pStyle w:val="ListParagraph"/>
              <w:widowControl w:val="0"/>
              <w:numPr>
                <w:ilvl w:val="0"/>
                <w:numId w:val="7"/>
              </w:numPr>
              <w:autoSpaceDE w:val="0"/>
              <w:autoSpaceDN w:val="0"/>
              <w:adjustRightInd w:val="0"/>
              <w:ind w:left="567" w:hanging="567"/>
              <w:rPr>
                <w:rFonts w:eastAsia="Arial" w:cstheme="minorHAnsi"/>
              </w:rPr>
            </w:pPr>
            <w:r w:rsidRPr="00B906A5">
              <w:rPr>
                <w:rFonts w:eastAsia="Arial" w:cstheme="minorHAnsi"/>
              </w:rPr>
              <w:t xml:space="preserve">Condition 1 is met if – </w:t>
            </w:r>
          </w:p>
          <w:p w14:paraId="407E998D" w14:textId="77777777" w:rsidR="00B906A5" w:rsidRPr="00B906A5" w:rsidRDefault="00B906A5" w:rsidP="00B906A5">
            <w:pPr>
              <w:pStyle w:val="ListParagraph"/>
              <w:widowControl w:val="0"/>
              <w:numPr>
                <w:ilvl w:val="0"/>
                <w:numId w:val="9"/>
              </w:numPr>
              <w:autoSpaceDE w:val="0"/>
              <w:autoSpaceDN w:val="0"/>
              <w:adjustRightInd w:val="0"/>
              <w:ind w:left="1134" w:hanging="567"/>
              <w:rPr>
                <w:rFonts w:eastAsia="Arial" w:cstheme="minorHAnsi"/>
              </w:rPr>
            </w:pPr>
            <w:r w:rsidRPr="00B906A5">
              <w:rPr>
                <w:rFonts w:eastAsia="Arial" w:cstheme="minorHAnsi"/>
              </w:rPr>
              <w:t>The adult has died, and</w:t>
            </w:r>
          </w:p>
          <w:p w14:paraId="53D57DEE" w14:textId="77777777" w:rsidR="00B906A5" w:rsidRPr="00B906A5" w:rsidRDefault="00B906A5" w:rsidP="00B906A5">
            <w:pPr>
              <w:pStyle w:val="ListParagraph"/>
              <w:widowControl w:val="0"/>
              <w:numPr>
                <w:ilvl w:val="0"/>
                <w:numId w:val="9"/>
              </w:numPr>
              <w:autoSpaceDE w:val="0"/>
              <w:autoSpaceDN w:val="0"/>
              <w:adjustRightInd w:val="0"/>
              <w:ind w:left="1134" w:hanging="567"/>
              <w:rPr>
                <w:rFonts w:eastAsia="Arial" w:cstheme="minorHAnsi"/>
              </w:rPr>
            </w:pPr>
            <w:r w:rsidRPr="00B906A5">
              <w:rPr>
                <w:rFonts w:eastAsia="Arial" w:cstheme="minorHAnsi"/>
              </w:rPr>
              <w:t>The agency knows or suspects that the death resulted from abuse or neglect (whether or not it knew about or suspected the abuse or neglect before the adult died)</w:t>
            </w:r>
          </w:p>
          <w:p w14:paraId="404CE6C8" w14:textId="77777777" w:rsidR="00B906A5" w:rsidRPr="00B906A5" w:rsidRDefault="00B906A5" w:rsidP="00B906A5">
            <w:pPr>
              <w:pStyle w:val="ListParagraph"/>
              <w:widowControl w:val="0"/>
              <w:autoSpaceDE w:val="0"/>
              <w:autoSpaceDN w:val="0"/>
              <w:adjustRightInd w:val="0"/>
              <w:ind w:left="1134"/>
              <w:rPr>
                <w:rFonts w:eastAsia="Arial" w:cstheme="minorHAnsi"/>
              </w:rPr>
            </w:pPr>
          </w:p>
          <w:p w14:paraId="613E5FE5" w14:textId="77777777" w:rsidR="00B906A5" w:rsidRPr="00B906A5" w:rsidRDefault="00B906A5" w:rsidP="00B906A5">
            <w:pPr>
              <w:pStyle w:val="ListParagraph"/>
              <w:widowControl w:val="0"/>
              <w:autoSpaceDE w:val="0"/>
              <w:autoSpaceDN w:val="0"/>
              <w:adjustRightInd w:val="0"/>
              <w:ind w:left="1134"/>
              <w:rPr>
                <w:rFonts w:eastAsia="Arial" w:cstheme="minorHAnsi"/>
              </w:rPr>
            </w:pPr>
          </w:p>
          <w:p w14:paraId="30F1BAD8" w14:textId="77777777" w:rsidR="00B906A5" w:rsidRPr="00B906A5" w:rsidRDefault="00B906A5" w:rsidP="00B906A5">
            <w:pPr>
              <w:pStyle w:val="ListParagraph"/>
              <w:widowControl w:val="0"/>
              <w:numPr>
                <w:ilvl w:val="0"/>
                <w:numId w:val="7"/>
              </w:numPr>
              <w:autoSpaceDE w:val="0"/>
              <w:autoSpaceDN w:val="0"/>
              <w:adjustRightInd w:val="0"/>
              <w:ind w:left="567" w:hanging="567"/>
              <w:rPr>
                <w:rFonts w:eastAsia="Arial" w:cstheme="minorHAnsi"/>
              </w:rPr>
            </w:pPr>
            <w:r w:rsidRPr="00B906A5">
              <w:rPr>
                <w:rFonts w:eastAsia="Arial" w:cstheme="minorHAnsi"/>
              </w:rPr>
              <w:t xml:space="preserve">Condition 2 is met if – </w:t>
            </w:r>
          </w:p>
          <w:p w14:paraId="4499C477" w14:textId="77777777" w:rsidR="00B906A5" w:rsidRPr="00B906A5" w:rsidRDefault="00B906A5" w:rsidP="00B906A5">
            <w:pPr>
              <w:pStyle w:val="ListParagraph"/>
              <w:widowControl w:val="0"/>
              <w:numPr>
                <w:ilvl w:val="0"/>
                <w:numId w:val="10"/>
              </w:numPr>
              <w:autoSpaceDE w:val="0"/>
              <w:autoSpaceDN w:val="0"/>
              <w:adjustRightInd w:val="0"/>
              <w:ind w:left="1134" w:hanging="567"/>
              <w:rPr>
                <w:rFonts w:eastAsia="Arial" w:cstheme="minorHAnsi"/>
              </w:rPr>
            </w:pPr>
            <w:r w:rsidRPr="00B906A5">
              <w:rPr>
                <w:rFonts w:eastAsia="Arial" w:cstheme="minorHAnsi"/>
              </w:rPr>
              <w:t>The adult is still alive, and</w:t>
            </w:r>
          </w:p>
          <w:p w14:paraId="5A12D475" w14:textId="77777777" w:rsidR="00B906A5" w:rsidRPr="00B906A5" w:rsidRDefault="00B906A5" w:rsidP="00B906A5">
            <w:pPr>
              <w:pStyle w:val="ListParagraph"/>
              <w:widowControl w:val="0"/>
              <w:numPr>
                <w:ilvl w:val="0"/>
                <w:numId w:val="10"/>
              </w:numPr>
              <w:autoSpaceDE w:val="0"/>
              <w:autoSpaceDN w:val="0"/>
              <w:adjustRightInd w:val="0"/>
              <w:ind w:left="1134" w:hanging="567"/>
              <w:rPr>
                <w:rFonts w:eastAsia="Arial" w:cstheme="minorHAnsi"/>
              </w:rPr>
            </w:pPr>
            <w:r w:rsidRPr="00B906A5">
              <w:rPr>
                <w:rFonts w:eastAsia="Arial" w:cstheme="minorHAnsi"/>
              </w:rPr>
              <w:t>The agency knows or suspects that the adult has experienced serious abuse* or neglect.</w:t>
            </w:r>
          </w:p>
          <w:p w14:paraId="1F6D746F" w14:textId="77777777" w:rsidR="00B906A5" w:rsidRPr="00B906A5" w:rsidRDefault="00B906A5" w:rsidP="00B906A5">
            <w:pPr>
              <w:widowControl w:val="0"/>
              <w:autoSpaceDE w:val="0"/>
              <w:autoSpaceDN w:val="0"/>
              <w:adjustRightInd w:val="0"/>
              <w:rPr>
                <w:rFonts w:eastAsia="Arial" w:cstheme="minorHAnsi"/>
              </w:rPr>
            </w:pPr>
          </w:p>
          <w:p w14:paraId="45187754" w14:textId="77777777" w:rsidR="00B906A5" w:rsidRPr="00B906A5" w:rsidRDefault="00B906A5" w:rsidP="00B906A5">
            <w:pPr>
              <w:pStyle w:val="BodyText"/>
              <w:ind w:left="59"/>
              <w:rPr>
                <w:rFonts w:asciiTheme="minorHAnsi" w:hAnsiTheme="minorHAnsi" w:cstheme="minorHAnsi"/>
                <w:sz w:val="22"/>
                <w:szCs w:val="22"/>
                <w:lang w:val="en-GB"/>
              </w:rPr>
            </w:pPr>
            <w:r w:rsidRPr="00B906A5">
              <w:rPr>
                <w:rFonts w:asciiTheme="minorHAnsi" w:hAnsiTheme="minorHAnsi" w:cstheme="minorHAnsi"/>
                <w:sz w:val="22"/>
                <w:szCs w:val="22"/>
                <w:lang w:val="en-GB"/>
              </w:rPr>
              <w:t>*</w:t>
            </w:r>
            <w:proofErr w:type="gramStart"/>
            <w:r w:rsidRPr="00B906A5">
              <w:rPr>
                <w:rFonts w:asciiTheme="minorHAnsi" w:hAnsiTheme="minorHAnsi" w:cstheme="minorHAnsi"/>
                <w:sz w:val="22"/>
                <w:szCs w:val="22"/>
                <w:lang w:val="en-GB"/>
              </w:rPr>
              <w:t>something</w:t>
            </w:r>
            <w:proofErr w:type="gramEnd"/>
            <w:r w:rsidRPr="00B906A5">
              <w:rPr>
                <w:rFonts w:asciiTheme="minorHAnsi" w:hAnsiTheme="minorHAnsi" w:cstheme="minorHAnsi"/>
                <w:sz w:val="22"/>
                <w:szCs w:val="22"/>
                <w:lang w:val="en-GB"/>
              </w:rPr>
              <w:t xml:space="preserve"> can be considered serious abuse or neglect where, for example the individual would have been likely to have died but for an intervention, or has suffered permanent harm or has reduced capacity or quality of life (whether because of physical or psychological effects) as a result of the abuse or neglect.</w:t>
            </w:r>
          </w:p>
          <w:p w14:paraId="56A6A369" w14:textId="77777777" w:rsidR="00B906A5" w:rsidRPr="00B906A5" w:rsidRDefault="00B906A5" w:rsidP="00B906A5">
            <w:pPr>
              <w:widowControl w:val="0"/>
              <w:autoSpaceDE w:val="0"/>
              <w:autoSpaceDN w:val="0"/>
              <w:adjustRightInd w:val="0"/>
              <w:rPr>
                <w:rFonts w:cstheme="minorHAnsi"/>
              </w:rPr>
            </w:pPr>
          </w:p>
          <w:p w14:paraId="51D7E170" w14:textId="77777777" w:rsidR="00B906A5" w:rsidRPr="00B906A5" w:rsidRDefault="00B906A5" w:rsidP="00B906A5">
            <w:pPr>
              <w:widowControl w:val="0"/>
              <w:autoSpaceDE w:val="0"/>
              <w:autoSpaceDN w:val="0"/>
              <w:adjustRightInd w:val="0"/>
              <w:rPr>
                <w:rFonts w:cstheme="minorHAnsi"/>
              </w:rPr>
            </w:pPr>
          </w:p>
        </w:tc>
      </w:tr>
      <w:tr w:rsidR="00B906A5" w:rsidRPr="00B906A5" w14:paraId="1401B82C" w14:textId="77777777" w:rsidTr="2B7B78E0">
        <w:tc>
          <w:tcPr>
            <w:tcW w:w="10769" w:type="dxa"/>
          </w:tcPr>
          <w:p w14:paraId="5FB576E2" w14:textId="77777777" w:rsidR="00B906A5" w:rsidRPr="00B906A5" w:rsidRDefault="00B906A5" w:rsidP="00B906A5">
            <w:pPr>
              <w:widowControl w:val="0"/>
              <w:autoSpaceDE w:val="0"/>
              <w:autoSpaceDN w:val="0"/>
              <w:adjustRightInd w:val="0"/>
              <w:rPr>
                <w:rFonts w:eastAsia="Arial" w:cstheme="minorHAnsi"/>
                <w:b/>
                <w:color w:val="2F5496"/>
                <w:u w:val="single"/>
              </w:rPr>
            </w:pPr>
            <w:r w:rsidRPr="00B906A5">
              <w:rPr>
                <w:rFonts w:eastAsia="Arial" w:cstheme="minorHAnsi"/>
                <w:b/>
                <w:color w:val="2F5496"/>
                <w:u w:val="single"/>
              </w:rPr>
              <w:t>Domestic Homicide Review Criteria</w:t>
            </w:r>
          </w:p>
          <w:p w14:paraId="4F9EA3E0" w14:textId="77777777" w:rsidR="00B906A5" w:rsidRPr="00B906A5" w:rsidRDefault="00B906A5" w:rsidP="00B906A5">
            <w:pPr>
              <w:widowControl w:val="0"/>
              <w:autoSpaceDE w:val="0"/>
              <w:autoSpaceDN w:val="0"/>
              <w:adjustRightInd w:val="0"/>
              <w:rPr>
                <w:rFonts w:cstheme="minorHAnsi"/>
              </w:rPr>
            </w:pPr>
          </w:p>
        </w:tc>
      </w:tr>
      <w:tr w:rsidR="00B906A5" w:rsidRPr="00B906A5" w14:paraId="546233DA" w14:textId="77777777" w:rsidTr="2B7B78E0">
        <w:tc>
          <w:tcPr>
            <w:tcW w:w="10769" w:type="dxa"/>
            <w:shd w:val="clear" w:color="auto" w:fill="auto"/>
          </w:tcPr>
          <w:p w14:paraId="210323C3" w14:textId="77777777" w:rsidR="00B906A5" w:rsidRPr="00B906A5" w:rsidRDefault="00B906A5" w:rsidP="00B906A5">
            <w:pPr>
              <w:pStyle w:val="Default"/>
              <w:rPr>
                <w:rFonts w:asciiTheme="minorHAnsi" w:hAnsiTheme="minorHAnsi" w:cstheme="minorHAnsi"/>
                <w:sz w:val="22"/>
                <w:szCs w:val="22"/>
              </w:rPr>
            </w:pPr>
            <w:r w:rsidRPr="00B906A5">
              <w:rPr>
                <w:rFonts w:asciiTheme="minorHAnsi" w:hAnsiTheme="minorHAnsi" w:cstheme="minorHAnsi"/>
                <w:sz w:val="22"/>
                <w:szCs w:val="22"/>
              </w:rPr>
              <w:t xml:space="preserve">A domestic homicide review means a review of the circumstances in which the death of a person aged 16 or over has, or appears to have, resulted from violence, </w:t>
            </w:r>
            <w:proofErr w:type="gramStart"/>
            <w:r w:rsidRPr="00B906A5">
              <w:rPr>
                <w:rFonts w:asciiTheme="minorHAnsi" w:hAnsiTheme="minorHAnsi" w:cstheme="minorHAnsi"/>
                <w:sz w:val="22"/>
                <w:szCs w:val="22"/>
              </w:rPr>
              <w:t>abuse</w:t>
            </w:r>
            <w:proofErr w:type="gramEnd"/>
            <w:r w:rsidRPr="00B906A5">
              <w:rPr>
                <w:rFonts w:asciiTheme="minorHAnsi" w:hAnsiTheme="minorHAnsi" w:cstheme="minorHAnsi"/>
                <w:sz w:val="22"/>
                <w:szCs w:val="22"/>
              </w:rPr>
              <w:t xml:space="preserve"> or neglect by— </w:t>
            </w:r>
          </w:p>
          <w:p w14:paraId="107FB706" w14:textId="77777777" w:rsidR="00B906A5" w:rsidRPr="00B906A5" w:rsidRDefault="00B906A5" w:rsidP="00B906A5">
            <w:pPr>
              <w:pStyle w:val="Default"/>
              <w:rPr>
                <w:rFonts w:asciiTheme="minorHAnsi" w:hAnsiTheme="minorHAnsi" w:cstheme="minorHAnsi"/>
                <w:sz w:val="22"/>
                <w:szCs w:val="22"/>
              </w:rPr>
            </w:pPr>
          </w:p>
          <w:p w14:paraId="0E9D2A17" w14:textId="77777777" w:rsidR="00B906A5" w:rsidRPr="00B906A5" w:rsidRDefault="00B906A5" w:rsidP="00B906A5">
            <w:pPr>
              <w:pStyle w:val="Default"/>
              <w:numPr>
                <w:ilvl w:val="0"/>
                <w:numId w:val="11"/>
              </w:numPr>
              <w:rPr>
                <w:rFonts w:asciiTheme="minorHAnsi" w:hAnsiTheme="minorHAnsi" w:cstheme="minorHAnsi"/>
                <w:sz w:val="22"/>
                <w:szCs w:val="22"/>
              </w:rPr>
            </w:pPr>
            <w:r w:rsidRPr="00B906A5">
              <w:rPr>
                <w:rFonts w:asciiTheme="minorHAnsi" w:hAnsiTheme="minorHAnsi" w:cstheme="minorHAnsi"/>
                <w:sz w:val="22"/>
                <w:szCs w:val="22"/>
              </w:rPr>
              <w:t>a person to whom he</w:t>
            </w:r>
            <w:r w:rsidRPr="00B906A5">
              <w:rPr>
                <w:rStyle w:val="FootnoteReference"/>
                <w:rFonts w:asciiTheme="minorHAnsi" w:hAnsiTheme="minorHAnsi" w:cstheme="minorHAnsi"/>
                <w:sz w:val="22"/>
                <w:szCs w:val="22"/>
              </w:rPr>
              <w:footnoteReference w:id="2"/>
            </w:r>
            <w:r w:rsidRPr="00B906A5">
              <w:rPr>
                <w:rFonts w:asciiTheme="minorHAnsi" w:hAnsiTheme="minorHAnsi" w:cstheme="minorHAnsi"/>
                <w:sz w:val="22"/>
                <w:szCs w:val="22"/>
              </w:rPr>
              <w:t xml:space="preserve"> was related or with whom he was or had been in an intimate personal relationship, or </w:t>
            </w:r>
          </w:p>
          <w:p w14:paraId="3E645DB7" w14:textId="77777777" w:rsidR="00B906A5" w:rsidRPr="00B906A5" w:rsidRDefault="00B906A5" w:rsidP="00B906A5">
            <w:pPr>
              <w:pStyle w:val="Default"/>
              <w:ind w:left="342"/>
              <w:rPr>
                <w:rFonts w:asciiTheme="minorHAnsi" w:hAnsiTheme="minorHAnsi" w:cstheme="minorHAnsi"/>
                <w:sz w:val="22"/>
                <w:szCs w:val="22"/>
              </w:rPr>
            </w:pPr>
            <w:r w:rsidRPr="00B906A5">
              <w:rPr>
                <w:rFonts w:asciiTheme="minorHAnsi" w:hAnsiTheme="minorHAnsi" w:cstheme="minorHAnsi"/>
                <w:sz w:val="22"/>
                <w:szCs w:val="22"/>
              </w:rPr>
              <w:t xml:space="preserve">(b) a member of the same household as himself, </w:t>
            </w:r>
          </w:p>
          <w:p w14:paraId="2B6C1983" w14:textId="77777777" w:rsidR="00B906A5" w:rsidRPr="00B906A5" w:rsidRDefault="00B906A5" w:rsidP="00B906A5">
            <w:pPr>
              <w:widowControl w:val="0"/>
              <w:autoSpaceDE w:val="0"/>
              <w:autoSpaceDN w:val="0"/>
              <w:adjustRightInd w:val="0"/>
              <w:rPr>
                <w:rFonts w:cstheme="minorHAnsi"/>
              </w:rPr>
            </w:pPr>
          </w:p>
          <w:p w14:paraId="6D1B7CDF" w14:textId="77777777" w:rsidR="00B906A5" w:rsidRPr="00B906A5" w:rsidRDefault="00B906A5" w:rsidP="00B906A5">
            <w:pPr>
              <w:widowControl w:val="0"/>
              <w:autoSpaceDE w:val="0"/>
              <w:autoSpaceDN w:val="0"/>
              <w:adjustRightInd w:val="0"/>
              <w:rPr>
                <w:rFonts w:cstheme="minorHAnsi"/>
                <w:color w:val="000000"/>
              </w:rPr>
            </w:pPr>
            <w:r w:rsidRPr="2B7B78E0">
              <w:rPr>
                <w:color w:val="000000" w:themeColor="text1"/>
              </w:rPr>
              <w:t>held with a view to identifying the lessons to be learnt from the death.</w:t>
            </w:r>
          </w:p>
          <w:p w14:paraId="796C9EC9" w14:textId="22C44041" w:rsidR="2B7B78E0" w:rsidRDefault="2B7B78E0" w:rsidP="2B7B78E0">
            <w:pPr>
              <w:widowControl w:val="0"/>
              <w:rPr>
                <w:color w:val="000000" w:themeColor="text1"/>
              </w:rPr>
            </w:pPr>
          </w:p>
          <w:p w14:paraId="6D95A1AB" w14:textId="03220320" w:rsidR="2B7B78E0" w:rsidRDefault="2B7B78E0" w:rsidP="2B7B78E0">
            <w:pPr>
              <w:rPr>
                <w:color w:val="000000" w:themeColor="text1"/>
              </w:rPr>
            </w:pPr>
            <w:r w:rsidRPr="2B7B78E0">
              <w:rPr>
                <w:color w:val="000000" w:themeColor="text1"/>
              </w:rPr>
              <w:t>Where a victim took their own life (suicide) and the circumstances give rise to concern, for example it emerges that there was coercive controlling behaviour in the relationship, a review should be undertaken, even if a suspect is not charged with an offence or they are tried and acquitted. Reviews are not about who is culpable.</w:t>
            </w:r>
          </w:p>
          <w:p w14:paraId="7790372F" w14:textId="09A85AA9" w:rsidR="2B7B78E0" w:rsidRDefault="2B7B78E0" w:rsidP="2B7B78E0">
            <w:pPr>
              <w:widowControl w:val="0"/>
              <w:rPr>
                <w:color w:val="000000" w:themeColor="text1"/>
              </w:rPr>
            </w:pPr>
          </w:p>
          <w:p w14:paraId="52925F63" w14:textId="77777777" w:rsidR="00B906A5" w:rsidRPr="00B906A5" w:rsidRDefault="00B906A5" w:rsidP="00B906A5">
            <w:pPr>
              <w:widowControl w:val="0"/>
              <w:autoSpaceDE w:val="0"/>
              <w:autoSpaceDN w:val="0"/>
              <w:adjustRightInd w:val="0"/>
              <w:rPr>
                <w:rFonts w:cstheme="minorHAnsi"/>
              </w:rPr>
            </w:pPr>
          </w:p>
        </w:tc>
      </w:tr>
    </w:tbl>
    <w:p w14:paraId="51AB4C9D" w14:textId="7E639354" w:rsidR="002C7C9B" w:rsidRDefault="002C7C9B">
      <w:pPr>
        <w:rPr>
          <w:rFonts w:cstheme="minorHAnsi"/>
          <w:u w:val="single"/>
        </w:rPr>
      </w:pPr>
    </w:p>
    <w:p w14:paraId="4D17E837" w14:textId="4C69281C" w:rsidR="001A5EB5" w:rsidRDefault="001A5EB5">
      <w:pPr>
        <w:rPr>
          <w:rFonts w:cstheme="minorHAnsi"/>
          <w:b/>
          <w:bCs/>
          <w:u w:val="single"/>
        </w:rPr>
      </w:pPr>
      <w:r>
        <w:rPr>
          <w:rFonts w:cstheme="minorHAnsi"/>
          <w:b/>
          <w:bCs/>
          <w:u w:val="single"/>
        </w:rPr>
        <w:t>Duties to supply information to SS</w:t>
      </w:r>
      <w:r w:rsidR="00D46D6D">
        <w:rPr>
          <w:rFonts w:cstheme="minorHAnsi"/>
          <w:b/>
          <w:bCs/>
          <w:u w:val="single"/>
        </w:rPr>
        <w:t>C</w:t>
      </w:r>
      <w:r>
        <w:rPr>
          <w:rFonts w:cstheme="minorHAnsi"/>
          <w:b/>
          <w:bCs/>
          <w:u w:val="single"/>
        </w:rPr>
        <w:t xml:space="preserve">P </w:t>
      </w:r>
    </w:p>
    <w:p w14:paraId="4DDFDAB2" w14:textId="428D40CB" w:rsidR="001A5EB5" w:rsidRPr="00C03192" w:rsidRDefault="001A5EB5">
      <w:pPr>
        <w:rPr>
          <w:rFonts w:cstheme="minorHAnsi"/>
        </w:rPr>
      </w:pPr>
      <w:r w:rsidRPr="00C03192">
        <w:rPr>
          <w:rFonts w:cstheme="minorHAnsi"/>
        </w:rPr>
        <w:t xml:space="preserve">A person or body </w:t>
      </w:r>
      <w:r w:rsidR="0085343A">
        <w:rPr>
          <w:rFonts w:cstheme="minorHAnsi"/>
        </w:rPr>
        <w:t>has a legal duty</w:t>
      </w:r>
      <w:r w:rsidR="0085343A">
        <w:rPr>
          <w:rStyle w:val="FootnoteReference"/>
          <w:rFonts w:cstheme="minorHAnsi"/>
        </w:rPr>
        <w:footnoteReference w:id="3"/>
      </w:r>
      <w:r w:rsidRPr="00C03192">
        <w:rPr>
          <w:rFonts w:cstheme="minorHAnsi"/>
        </w:rPr>
        <w:t xml:space="preserve"> </w:t>
      </w:r>
      <w:r w:rsidR="0085343A">
        <w:rPr>
          <w:rFonts w:cstheme="minorHAnsi"/>
        </w:rPr>
        <w:t xml:space="preserve">to </w:t>
      </w:r>
      <w:r w:rsidRPr="00C03192">
        <w:rPr>
          <w:rFonts w:cstheme="minorHAnsi"/>
        </w:rPr>
        <w:t>provide the SS</w:t>
      </w:r>
      <w:r w:rsidR="00D46D6D">
        <w:rPr>
          <w:rFonts w:cstheme="minorHAnsi"/>
        </w:rPr>
        <w:t>C</w:t>
      </w:r>
      <w:r w:rsidRPr="00C03192">
        <w:rPr>
          <w:rFonts w:cstheme="minorHAnsi"/>
        </w:rPr>
        <w:t>P</w:t>
      </w:r>
      <w:r w:rsidR="00C03192">
        <w:rPr>
          <w:rFonts w:cstheme="minorHAnsi"/>
        </w:rPr>
        <w:t xml:space="preserve"> (or some other person or body as specified)</w:t>
      </w:r>
      <w:r w:rsidRPr="00C03192">
        <w:rPr>
          <w:rFonts w:cstheme="minorHAnsi"/>
        </w:rPr>
        <w:t xml:space="preserve"> with </w:t>
      </w:r>
      <w:r w:rsidR="00C03192" w:rsidRPr="00C03192">
        <w:rPr>
          <w:rFonts w:cstheme="minorHAnsi"/>
        </w:rPr>
        <w:t xml:space="preserve">any </w:t>
      </w:r>
      <w:r w:rsidRPr="00C03192">
        <w:rPr>
          <w:rFonts w:cstheme="minorHAnsi"/>
        </w:rPr>
        <w:t>information</w:t>
      </w:r>
      <w:r w:rsidR="00096D6D">
        <w:rPr>
          <w:rFonts w:cstheme="minorHAnsi"/>
        </w:rPr>
        <w:t>,</w:t>
      </w:r>
      <w:r w:rsidRPr="00C03192">
        <w:rPr>
          <w:rFonts w:cstheme="minorHAnsi"/>
        </w:rPr>
        <w:t xml:space="preserve"> </w:t>
      </w:r>
      <w:r w:rsidR="00C03192">
        <w:rPr>
          <w:rFonts w:cstheme="minorHAnsi"/>
        </w:rPr>
        <w:t xml:space="preserve">as </w:t>
      </w:r>
      <w:r w:rsidR="00096D6D">
        <w:rPr>
          <w:rFonts w:cstheme="minorHAnsi"/>
        </w:rPr>
        <w:t xml:space="preserve">it is </w:t>
      </w:r>
      <w:r w:rsidR="00C03192">
        <w:rPr>
          <w:rFonts w:cstheme="minorHAnsi"/>
        </w:rPr>
        <w:t>requested</w:t>
      </w:r>
      <w:r w:rsidR="00096D6D">
        <w:rPr>
          <w:rFonts w:cstheme="minorHAnsi"/>
        </w:rPr>
        <w:t>,</w:t>
      </w:r>
      <w:r w:rsidR="00C03192">
        <w:rPr>
          <w:rFonts w:cstheme="minorHAnsi"/>
        </w:rPr>
        <w:t xml:space="preserve"> </w:t>
      </w:r>
      <w:r w:rsidR="0085343A">
        <w:rPr>
          <w:rFonts w:cstheme="minorHAnsi"/>
        </w:rPr>
        <w:t>in order to enable and assist the SS</w:t>
      </w:r>
      <w:r w:rsidR="00D46D6D">
        <w:rPr>
          <w:rFonts w:cstheme="minorHAnsi"/>
        </w:rPr>
        <w:t>C</w:t>
      </w:r>
      <w:r w:rsidR="0085343A">
        <w:rPr>
          <w:rFonts w:cstheme="minorHAnsi"/>
        </w:rPr>
        <w:t xml:space="preserve">P to exercise its statutory functions relating to </w:t>
      </w:r>
      <w:r w:rsidR="0085343A">
        <w:rPr>
          <w:rFonts w:cstheme="minorHAnsi"/>
        </w:rPr>
        <w:lastRenderedPageBreak/>
        <w:t xml:space="preserve">Safeguarding Adult Reviews (s44 Care Act 2014) </w:t>
      </w:r>
      <w:r w:rsidR="00096D6D">
        <w:rPr>
          <w:rFonts w:cstheme="minorHAnsi"/>
        </w:rPr>
        <w:t>and/</w:t>
      </w:r>
      <w:r w:rsidR="0085343A">
        <w:rPr>
          <w:rFonts w:cstheme="minorHAnsi"/>
        </w:rPr>
        <w:t>or Child Safeguarding Practice Reviews</w:t>
      </w:r>
      <w:r w:rsidR="00096D6D">
        <w:rPr>
          <w:rFonts w:cstheme="minorHAnsi"/>
        </w:rPr>
        <w:t xml:space="preserve"> (s16f Children Act 2004 as amended by s17 Child and Social Work Act 2017)</w:t>
      </w:r>
      <w:r w:rsidR="002A5D74">
        <w:rPr>
          <w:rFonts w:cstheme="minorHAnsi"/>
        </w:rPr>
        <w:t xml:space="preserve"> and/or Domestic Homicide Reviews (s9 Domestic Violence, Crime and Victims Act 2004)</w:t>
      </w:r>
      <w:r w:rsidR="00096D6D">
        <w:rPr>
          <w:rFonts w:cstheme="minorHAnsi"/>
        </w:rPr>
        <w:t>.</w:t>
      </w:r>
    </w:p>
    <w:p w14:paraId="3E56D3ED" w14:textId="77777777" w:rsidR="00427F92" w:rsidRPr="002F0A35" w:rsidRDefault="00427F92">
      <w:pPr>
        <w:tabs>
          <w:tab w:val="left" w:pos="7785"/>
        </w:tabs>
        <w:rPr>
          <w:rFonts w:cstheme="minorHAnsi"/>
          <w:b/>
        </w:rPr>
      </w:pPr>
    </w:p>
    <w:sectPr w:rsidR="00427F92" w:rsidRPr="002F0A35" w:rsidSect="00C03192">
      <w:headerReference w:type="default" r:id="rId15"/>
      <w:footerReference w:type="default" r:id="rId16"/>
      <w:pgSz w:w="11906" w:h="16838"/>
      <w:pgMar w:top="631" w:right="720" w:bottom="720" w:left="720" w:header="14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74D2" w14:textId="77777777" w:rsidR="00B229E7" w:rsidRDefault="00B229E7" w:rsidP="008C1090">
      <w:pPr>
        <w:spacing w:after="0" w:line="240" w:lineRule="auto"/>
      </w:pPr>
      <w:r>
        <w:separator/>
      </w:r>
    </w:p>
  </w:endnote>
  <w:endnote w:type="continuationSeparator" w:id="0">
    <w:p w14:paraId="565CC4E4" w14:textId="77777777" w:rsidR="00B229E7" w:rsidRDefault="00B229E7" w:rsidP="008C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E62B" w14:textId="6CB91FAC" w:rsidR="00271E8B" w:rsidRDefault="00271E8B" w:rsidP="00872CE9">
    <w:pPr>
      <w:pStyle w:val="Footer"/>
      <w:jc w:val="right"/>
    </w:pPr>
    <w:r>
      <w:t xml:space="preserve">Date of Approval by </w:t>
    </w:r>
    <w:r w:rsidR="00E36B0F">
      <w:t>SS</w:t>
    </w:r>
    <w:r w:rsidR="00D46D6D">
      <w:t>C</w:t>
    </w:r>
    <w:r w:rsidR="00E36B0F">
      <w:t>P Executive Groups</w:t>
    </w:r>
    <w:r>
      <w:t>:</w:t>
    </w:r>
    <w:r w:rsidR="004057C3">
      <w:t xml:space="preserve"> </w:t>
    </w:r>
    <w:r w:rsidR="00D46D6D">
      <w:t xml:space="preserve"> </w:t>
    </w:r>
    <w:r w:rsidR="002A5D74">
      <w:t>Awaiting</w:t>
    </w:r>
  </w:p>
  <w:p w14:paraId="7C302FAF" w14:textId="1500F216" w:rsidR="00D46D6D" w:rsidRDefault="00D46D6D" w:rsidP="00872CE9">
    <w:pPr>
      <w:pStyle w:val="Footer"/>
      <w:jc w:val="right"/>
    </w:pPr>
    <w:r>
      <w:t xml:space="preserve">Review date: </w:t>
    </w:r>
  </w:p>
  <w:p w14:paraId="34FCE141" w14:textId="73061BE5" w:rsidR="00872CE9" w:rsidRDefault="00872CE9" w:rsidP="00872C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244E" w14:textId="77777777" w:rsidR="00B229E7" w:rsidRDefault="00B229E7" w:rsidP="008C1090">
      <w:pPr>
        <w:spacing w:after="0" w:line="240" w:lineRule="auto"/>
      </w:pPr>
      <w:r>
        <w:separator/>
      </w:r>
    </w:p>
  </w:footnote>
  <w:footnote w:type="continuationSeparator" w:id="0">
    <w:p w14:paraId="3AA38F6D" w14:textId="77777777" w:rsidR="00B229E7" w:rsidRDefault="00B229E7" w:rsidP="008C1090">
      <w:pPr>
        <w:spacing w:after="0" w:line="240" w:lineRule="auto"/>
      </w:pPr>
      <w:r>
        <w:continuationSeparator/>
      </w:r>
    </w:p>
  </w:footnote>
  <w:footnote w:id="1">
    <w:p w14:paraId="566C18B2" w14:textId="77777777" w:rsidR="00B906A5" w:rsidRPr="008D1095" w:rsidRDefault="00B906A5" w:rsidP="00B906A5">
      <w:pPr>
        <w:pStyle w:val="FootnoteText"/>
        <w:ind w:left="-142"/>
        <w:rPr>
          <w:rFonts w:ascii="Arial" w:hAnsi="Arial" w:cs="Arial"/>
        </w:rPr>
      </w:pPr>
      <w:r w:rsidRPr="008D1095">
        <w:rPr>
          <w:rStyle w:val="FootnoteReference"/>
          <w:rFonts w:ascii="Arial" w:hAnsi="Arial" w:cs="Arial"/>
        </w:rPr>
        <w:footnoteRef/>
      </w:r>
      <w:r w:rsidRPr="008D1095">
        <w:rPr>
          <w:rFonts w:ascii="Arial" w:hAnsi="Arial" w:cs="Arial"/>
        </w:rPr>
        <w:t xml:space="preserve"> Child perpetrators may also be the subject of a </w:t>
      </w:r>
      <w:proofErr w:type="gramStart"/>
      <w:r w:rsidRPr="008D1095">
        <w:rPr>
          <w:rFonts w:ascii="Arial" w:hAnsi="Arial" w:cs="Arial"/>
        </w:rPr>
        <w:t>review, if</w:t>
      </w:r>
      <w:proofErr w:type="gramEnd"/>
      <w:r w:rsidRPr="008D1095">
        <w:rPr>
          <w:rFonts w:ascii="Arial" w:hAnsi="Arial" w:cs="Arial"/>
        </w:rPr>
        <w:t xml:space="preserve"> the definition of ‘serious child safeguarding case’ is met.</w:t>
      </w:r>
    </w:p>
  </w:footnote>
  <w:footnote w:id="2">
    <w:p w14:paraId="0BFC5117" w14:textId="77777777" w:rsidR="00B906A5" w:rsidRDefault="00B906A5" w:rsidP="00B906A5">
      <w:pPr>
        <w:pStyle w:val="FootnoteText"/>
      </w:pPr>
      <w:r>
        <w:rPr>
          <w:rStyle w:val="FootnoteReference"/>
        </w:rPr>
        <w:footnoteRef/>
      </w:r>
      <w:r>
        <w:t xml:space="preserve"> </w:t>
      </w:r>
      <w:r w:rsidRPr="002A5D74">
        <w:rPr>
          <w:rFonts w:asciiTheme="minorHAnsi" w:hAnsiTheme="minorHAnsi" w:cstheme="minorHAnsi"/>
          <w:sz w:val="22"/>
          <w:szCs w:val="22"/>
        </w:rPr>
        <w:t>Section 6 of the Interpretation Act 1978 - words importing the masculine gender includes the feminine</w:t>
      </w:r>
      <w:r>
        <w:rPr>
          <w:rFonts w:ascii="Arial" w:hAnsi="Arial" w:cs="Arial"/>
          <w:sz w:val="22"/>
          <w:szCs w:val="22"/>
        </w:rPr>
        <w:t xml:space="preserve">  </w:t>
      </w:r>
    </w:p>
  </w:footnote>
  <w:footnote w:id="3">
    <w:p w14:paraId="141F8DD9" w14:textId="1D48D3FF" w:rsidR="0085343A" w:rsidRPr="00C03192" w:rsidRDefault="0085343A" w:rsidP="0085343A">
      <w:pPr>
        <w:rPr>
          <w:rFonts w:cstheme="minorHAnsi"/>
        </w:rPr>
      </w:pPr>
      <w:r>
        <w:rPr>
          <w:rStyle w:val="FootnoteReference"/>
        </w:rPr>
        <w:footnoteRef/>
      </w:r>
      <w:r>
        <w:t xml:space="preserve"> As conferred by s45 Care Act 2014</w:t>
      </w:r>
      <w:r w:rsidR="00170C5C">
        <w:t>,</w:t>
      </w:r>
      <w:r>
        <w:t xml:space="preserve"> </w:t>
      </w:r>
      <w:r w:rsidR="00096D6D">
        <w:t xml:space="preserve">s16(h) </w:t>
      </w:r>
      <w:r w:rsidRPr="00C03192">
        <w:rPr>
          <w:rFonts w:cstheme="minorHAnsi"/>
        </w:rPr>
        <w:t>Children Act 20</w:t>
      </w:r>
      <w:r w:rsidR="00096D6D">
        <w:rPr>
          <w:rFonts w:cstheme="minorHAnsi"/>
        </w:rPr>
        <w:t>0</w:t>
      </w:r>
      <w:r w:rsidRPr="00C03192">
        <w:rPr>
          <w:rFonts w:cstheme="minorHAnsi"/>
        </w:rPr>
        <w:t xml:space="preserve">4 (as amended by </w:t>
      </w:r>
      <w:r>
        <w:rPr>
          <w:rFonts w:cstheme="minorHAnsi"/>
        </w:rPr>
        <w:t>s1</w:t>
      </w:r>
      <w:r w:rsidR="00096D6D">
        <w:rPr>
          <w:rFonts w:cstheme="minorHAnsi"/>
        </w:rPr>
        <w:t>9</w:t>
      </w:r>
      <w:r>
        <w:rPr>
          <w:rFonts w:cstheme="minorHAnsi"/>
        </w:rPr>
        <w:t xml:space="preserve"> </w:t>
      </w:r>
      <w:r w:rsidRPr="00C03192">
        <w:rPr>
          <w:rFonts w:cstheme="minorHAnsi"/>
        </w:rPr>
        <w:t>Children and Social Work Act 2017)</w:t>
      </w:r>
      <w:r w:rsidR="00170C5C">
        <w:rPr>
          <w:rFonts w:cstheme="minorHAnsi"/>
        </w:rPr>
        <w:t xml:space="preserve"> and s115 Crime and Disorder Act 2004</w:t>
      </w:r>
    </w:p>
    <w:p w14:paraId="36248CA7" w14:textId="3D5DE1F1" w:rsidR="0085343A" w:rsidRDefault="008534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EAF8" w14:textId="0CAFAA4C" w:rsidR="00C03192" w:rsidRDefault="00D46D6D" w:rsidP="00D46D6D">
    <w:pPr>
      <w:pStyle w:val="Header"/>
      <w:jc w:val="center"/>
    </w:pPr>
    <w:r>
      <w:rPr>
        <w:noProof/>
      </w:rPr>
      <w:drawing>
        <wp:inline distT="0" distB="0" distL="0" distR="0" wp14:anchorId="4A24DA6F" wp14:editId="02DCB057">
          <wp:extent cx="1181100" cy="1131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464" cy="11649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46E"/>
    <w:multiLevelType w:val="hybridMultilevel"/>
    <w:tmpl w:val="4B58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07636"/>
    <w:multiLevelType w:val="hybridMultilevel"/>
    <w:tmpl w:val="9E7A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93182"/>
    <w:multiLevelType w:val="hybridMultilevel"/>
    <w:tmpl w:val="93A47504"/>
    <w:lvl w:ilvl="0" w:tplc="AB06A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2130F"/>
    <w:multiLevelType w:val="hybridMultilevel"/>
    <w:tmpl w:val="5372BE86"/>
    <w:lvl w:ilvl="0" w:tplc="0D4C9972">
      <w:start w:val="1"/>
      <w:numFmt w:val="lowerLetter"/>
      <w:lvlText w:val="%1)"/>
      <w:lvlJc w:val="left"/>
      <w:pPr>
        <w:ind w:left="5202" w:hanging="360"/>
      </w:pPr>
      <w:rPr>
        <w:rFonts w:hint="default"/>
      </w:rPr>
    </w:lvl>
    <w:lvl w:ilvl="1" w:tplc="08090019" w:tentative="1">
      <w:start w:val="1"/>
      <w:numFmt w:val="lowerLetter"/>
      <w:lvlText w:val="%2."/>
      <w:lvlJc w:val="left"/>
      <w:pPr>
        <w:ind w:left="5922" w:hanging="360"/>
      </w:pPr>
    </w:lvl>
    <w:lvl w:ilvl="2" w:tplc="0809001B" w:tentative="1">
      <w:start w:val="1"/>
      <w:numFmt w:val="lowerRoman"/>
      <w:lvlText w:val="%3."/>
      <w:lvlJc w:val="right"/>
      <w:pPr>
        <w:ind w:left="6642" w:hanging="180"/>
      </w:pPr>
    </w:lvl>
    <w:lvl w:ilvl="3" w:tplc="0809000F" w:tentative="1">
      <w:start w:val="1"/>
      <w:numFmt w:val="decimal"/>
      <w:lvlText w:val="%4."/>
      <w:lvlJc w:val="left"/>
      <w:pPr>
        <w:ind w:left="7362" w:hanging="360"/>
      </w:pPr>
    </w:lvl>
    <w:lvl w:ilvl="4" w:tplc="08090019" w:tentative="1">
      <w:start w:val="1"/>
      <w:numFmt w:val="lowerLetter"/>
      <w:lvlText w:val="%5."/>
      <w:lvlJc w:val="left"/>
      <w:pPr>
        <w:ind w:left="8082" w:hanging="360"/>
      </w:pPr>
    </w:lvl>
    <w:lvl w:ilvl="5" w:tplc="0809001B" w:tentative="1">
      <w:start w:val="1"/>
      <w:numFmt w:val="lowerRoman"/>
      <w:lvlText w:val="%6."/>
      <w:lvlJc w:val="right"/>
      <w:pPr>
        <w:ind w:left="8802" w:hanging="180"/>
      </w:pPr>
    </w:lvl>
    <w:lvl w:ilvl="6" w:tplc="0809000F" w:tentative="1">
      <w:start w:val="1"/>
      <w:numFmt w:val="decimal"/>
      <w:lvlText w:val="%7."/>
      <w:lvlJc w:val="left"/>
      <w:pPr>
        <w:ind w:left="9522" w:hanging="360"/>
      </w:pPr>
    </w:lvl>
    <w:lvl w:ilvl="7" w:tplc="08090019" w:tentative="1">
      <w:start w:val="1"/>
      <w:numFmt w:val="lowerLetter"/>
      <w:lvlText w:val="%8."/>
      <w:lvlJc w:val="left"/>
      <w:pPr>
        <w:ind w:left="10242" w:hanging="360"/>
      </w:pPr>
    </w:lvl>
    <w:lvl w:ilvl="8" w:tplc="0809001B" w:tentative="1">
      <w:start w:val="1"/>
      <w:numFmt w:val="lowerRoman"/>
      <w:lvlText w:val="%9."/>
      <w:lvlJc w:val="right"/>
      <w:pPr>
        <w:ind w:left="10962" w:hanging="180"/>
      </w:pPr>
    </w:lvl>
  </w:abstractNum>
  <w:abstractNum w:abstractNumId="4" w15:restartNumberingAfterBreak="0">
    <w:nsid w:val="32826FDB"/>
    <w:multiLevelType w:val="hybridMultilevel"/>
    <w:tmpl w:val="F368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4411A"/>
    <w:multiLevelType w:val="hybridMultilevel"/>
    <w:tmpl w:val="8058363E"/>
    <w:lvl w:ilvl="0" w:tplc="EC588A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069FD"/>
    <w:multiLevelType w:val="hybridMultilevel"/>
    <w:tmpl w:val="B0005B98"/>
    <w:lvl w:ilvl="0" w:tplc="177C4D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3939BA"/>
    <w:multiLevelType w:val="hybridMultilevel"/>
    <w:tmpl w:val="A3EAD65A"/>
    <w:lvl w:ilvl="0" w:tplc="1B585494">
      <w:start w:val="1"/>
      <w:numFmt w:val="lowerRoman"/>
      <w:lvlText w:val="%1)"/>
      <w:lvlJc w:val="left"/>
      <w:pPr>
        <w:ind w:left="360" w:hanging="360"/>
      </w:pPr>
      <w:rPr>
        <w:rFonts w:hint="default"/>
        <w:b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1E776B"/>
    <w:multiLevelType w:val="hybridMultilevel"/>
    <w:tmpl w:val="ECA86B90"/>
    <w:lvl w:ilvl="0" w:tplc="7F7ADDA0">
      <w:start w:val="1"/>
      <w:numFmt w:val="lowerLetter"/>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9" w15:restartNumberingAfterBreak="0">
    <w:nsid w:val="78FC2085"/>
    <w:multiLevelType w:val="hybridMultilevel"/>
    <w:tmpl w:val="A2CCD914"/>
    <w:lvl w:ilvl="0" w:tplc="94B0AB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BE67ED5"/>
    <w:multiLevelType w:val="hybridMultilevel"/>
    <w:tmpl w:val="173E29B2"/>
    <w:lvl w:ilvl="0" w:tplc="FA287866">
      <w:start w:val="1"/>
      <w:numFmt w:val="bullet"/>
      <w:lvlText w:val=""/>
      <w:lvlJc w:val="left"/>
      <w:pPr>
        <w:ind w:left="780" w:hanging="360"/>
      </w:pPr>
      <w:rPr>
        <w:rFonts w:ascii="Symbol" w:hAnsi="Symbol" w:hint="default"/>
        <w:sz w:val="28"/>
        <w:szCs w:val="28"/>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10"/>
  </w:num>
  <w:num w:numId="6">
    <w:abstractNumId w:val="7"/>
  </w:num>
  <w:num w:numId="7">
    <w:abstractNumId w:val="6"/>
  </w:num>
  <w:num w:numId="8">
    <w:abstractNumId w:val="9"/>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875"/>
    <w:rsid w:val="00037F0F"/>
    <w:rsid w:val="00065686"/>
    <w:rsid w:val="00096D6D"/>
    <w:rsid w:val="00130CC4"/>
    <w:rsid w:val="00153B15"/>
    <w:rsid w:val="00170C5C"/>
    <w:rsid w:val="001A5EB5"/>
    <w:rsid w:val="00243171"/>
    <w:rsid w:val="00271E8B"/>
    <w:rsid w:val="002A5D74"/>
    <w:rsid w:val="002B0448"/>
    <w:rsid w:val="002C7C9B"/>
    <w:rsid w:val="002F0A35"/>
    <w:rsid w:val="003043AE"/>
    <w:rsid w:val="003707B4"/>
    <w:rsid w:val="003E78FC"/>
    <w:rsid w:val="004004E2"/>
    <w:rsid w:val="004057C3"/>
    <w:rsid w:val="00425829"/>
    <w:rsid w:val="00425D51"/>
    <w:rsid w:val="00427F92"/>
    <w:rsid w:val="004438E7"/>
    <w:rsid w:val="00477664"/>
    <w:rsid w:val="004E0105"/>
    <w:rsid w:val="00532C41"/>
    <w:rsid w:val="00587734"/>
    <w:rsid w:val="0059144E"/>
    <w:rsid w:val="005A0C0E"/>
    <w:rsid w:val="005B4DA3"/>
    <w:rsid w:val="005D14A2"/>
    <w:rsid w:val="005D501B"/>
    <w:rsid w:val="00634D1D"/>
    <w:rsid w:val="006429E1"/>
    <w:rsid w:val="00651DB3"/>
    <w:rsid w:val="006810B6"/>
    <w:rsid w:val="006A3A59"/>
    <w:rsid w:val="006B5FF7"/>
    <w:rsid w:val="006C0AC3"/>
    <w:rsid w:val="006C2B27"/>
    <w:rsid w:val="0073721F"/>
    <w:rsid w:val="00746070"/>
    <w:rsid w:val="007716AB"/>
    <w:rsid w:val="007C37FA"/>
    <w:rsid w:val="007D16D9"/>
    <w:rsid w:val="008146AF"/>
    <w:rsid w:val="008335D8"/>
    <w:rsid w:val="00845FAE"/>
    <w:rsid w:val="0085343A"/>
    <w:rsid w:val="008727AC"/>
    <w:rsid w:val="00872CE9"/>
    <w:rsid w:val="00890256"/>
    <w:rsid w:val="008C1090"/>
    <w:rsid w:val="008C2B62"/>
    <w:rsid w:val="00914290"/>
    <w:rsid w:val="009C1A0B"/>
    <w:rsid w:val="00A10F91"/>
    <w:rsid w:val="00A564EF"/>
    <w:rsid w:val="00A9407F"/>
    <w:rsid w:val="00AA0299"/>
    <w:rsid w:val="00AA0FEB"/>
    <w:rsid w:val="00AA4146"/>
    <w:rsid w:val="00AB5CD4"/>
    <w:rsid w:val="00B229E7"/>
    <w:rsid w:val="00B22D68"/>
    <w:rsid w:val="00B348AA"/>
    <w:rsid w:val="00B40A02"/>
    <w:rsid w:val="00B906A5"/>
    <w:rsid w:val="00BD7A3C"/>
    <w:rsid w:val="00C03192"/>
    <w:rsid w:val="00C42324"/>
    <w:rsid w:val="00C93BE6"/>
    <w:rsid w:val="00CD15EE"/>
    <w:rsid w:val="00D46D6D"/>
    <w:rsid w:val="00D54442"/>
    <w:rsid w:val="00D75D12"/>
    <w:rsid w:val="00D94D02"/>
    <w:rsid w:val="00E11C34"/>
    <w:rsid w:val="00E17091"/>
    <w:rsid w:val="00E20789"/>
    <w:rsid w:val="00E35875"/>
    <w:rsid w:val="00E36B0F"/>
    <w:rsid w:val="00E84025"/>
    <w:rsid w:val="00EA32FD"/>
    <w:rsid w:val="00EE4076"/>
    <w:rsid w:val="00F43695"/>
    <w:rsid w:val="00F50793"/>
    <w:rsid w:val="00F768B5"/>
    <w:rsid w:val="2B7B78E0"/>
    <w:rsid w:val="3ED1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034D5"/>
  <w15:docId w15:val="{E1ECDCAC-F33D-49AC-A7A6-573E0D63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090"/>
  </w:style>
  <w:style w:type="paragraph" w:styleId="Footer">
    <w:name w:val="footer"/>
    <w:basedOn w:val="Normal"/>
    <w:link w:val="FooterChar"/>
    <w:uiPriority w:val="99"/>
    <w:unhideWhenUsed/>
    <w:rsid w:val="008C1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090"/>
  </w:style>
  <w:style w:type="character" w:styleId="Hyperlink">
    <w:name w:val="Hyperlink"/>
    <w:basedOn w:val="DefaultParagraphFont"/>
    <w:uiPriority w:val="99"/>
    <w:unhideWhenUsed/>
    <w:rsid w:val="00CD15EE"/>
    <w:rPr>
      <w:color w:val="0563C1" w:themeColor="hyperlink"/>
      <w:u w:val="single"/>
    </w:rPr>
  </w:style>
  <w:style w:type="character" w:styleId="FollowedHyperlink">
    <w:name w:val="FollowedHyperlink"/>
    <w:basedOn w:val="DefaultParagraphFont"/>
    <w:uiPriority w:val="99"/>
    <w:semiHidden/>
    <w:unhideWhenUsed/>
    <w:rsid w:val="00CD15EE"/>
    <w:rPr>
      <w:color w:val="954F72" w:themeColor="followedHyperlink"/>
      <w:u w:val="single"/>
    </w:rPr>
  </w:style>
  <w:style w:type="paragraph" w:styleId="ListParagraph">
    <w:name w:val="List Paragraph"/>
    <w:basedOn w:val="Normal"/>
    <w:uiPriority w:val="34"/>
    <w:qFormat/>
    <w:rsid w:val="00845FAE"/>
    <w:pPr>
      <w:ind w:left="720"/>
      <w:contextualSpacing/>
    </w:pPr>
  </w:style>
  <w:style w:type="character" w:customStyle="1" w:styleId="UnresolvedMention1">
    <w:name w:val="Unresolved Mention1"/>
    <w:basedOn w:val="DefaultParagraphFont"/>
    <w:uiPriority w:val="99"/>
    <w:semiHidden/>
    <w:unhideWhenUsed/>
    <w:rsid w:val="00746070"/>
    <w:rPr>
      <w:color w:val="605E5C"/>
      <w:shd w:val="clear" w:color="auto" w:fill="E1DFDD"/>
    </w:rPr>
  </w:style>
  <w:style w:type="character" w:styleId="FootnoteReference">
    <w:name w:val="footnote reference"/>
    <w:basedOn w:val="DefaultParagraphFont"/>
    <w:uiPriority w:val="99"/>
    <w:semiHidden/>
    <w:unhideWhenUsed/>
    <w:rsid w:val="002C7C9B"/>
    <w:rPr>
      <w:vertAlign w:val="superscript"/>
    </w:rPr>
  </w:style>
  <w:style w:type="paragraph" w:styleId="FootnoteText">
    <w:name w:val="footnote text"/>
    <w:basedOn w:val="Normal"/>
    <w:link w:val="FootnoteTextChar"/>
    <w:uiPriority w:val="99"/>
    <w:unhideWhenUsed/>
    <w:rsid w:val="002C7C9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2C7C9B"/>
    <w:rPr>
      <w:rFonts w:ascii="Times New Roman" w:hAnsi="Times New Roman"/>
      <w:sz w:val="20"/>
      <w:szCs w:val="20"/>
    </w:rPr>
  </w:style>
  <w:style w:type="table" w:styleId="TableGrid">
    <w:name w:val="Table Grid"/>
    <w:basedOn w:val="TableNormal"/>
    <w:uiPriority w:val="59"/>
    <w:rsid w:val="002C7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C7C9B"/>
    <w:pPr>
      <w:widowControl w:val="0"/>
      <w:spacing w:after="0" w:line="240" w:lineRule="auto"/>
      <w:ind w:left="1593"/>
    </w:pPr>
    <w:rPr>
      <w:rFonts w:ascii="Arial" w:eastAsia="Arial" w:hAnsi="Arial"/>
      <w:sz w:val="24"/>
      <w:szCs w:val="24"/>
      <w:lang w:val="en-US"/>
    </w:rPr>
  </w:style>
  <w:style w:type="character" w:customStyle="1" w:styleId="BodyTextChar">
    <w:name w:val="Body Text Char"/>
    <w:basedOn w:val="DefaultParagraphFont"/>
    <w:link w:val="BodyText"/>
    <w:uiPriority w:val="1"/>
    <w:rsid w:val="002C7C9B"/>
    <w:rPr>
      <w:rFonts w:ascii="Arial" w:eastAsia="Arial" w:hAnsi="Arial"/>
      <w:sz w:val="24"/>
      <w:szCs w:val="24"/>
      <w:lang w:val="en-US"/>
    </w:rPr>
  </w:style>
  <w:style w:type="character" w:styleId="UnresolvedMention">
    <w:name w:val="Unresolved Mention"/>
    <w:basedOn w:val="DefaultParagraphFont"/>
    <w:uiPriority w:val="99"/>
    <w:semiHidden/>
    <w:unhideWhenUsed/>
    <w:rsid w:val="002C7C9B"/>
    <w:rPr>
      <w:color w:val="605E5C"/>
      <w:shd w:val="clear" w:color="auto" w:fill="E1DFDD"/>
    </w:rPr>
  </w:style>
  <w:style w:type="paragraph" w:styleId="BalloonText">
    <w:name w:val="Balloon Text"/>
    <w:basedOn w:val="Normal"/>
    <w:link w:val="BalloonTextChar"/>
    <w:uiPriority w:val="99"/>
    <w:semiHidden/>
    <w:unhideWhenUsed/>
    <w:rsid w:val="002C7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C9B"/>
    <w:rPr>
      <w:rFonts w:ascii="Segoe UI" w:hAnsi="Segoe UI" w:cs="Segoe UI"/>
      <w:sz w:val="18"/>
      <w:szCs w:val="18"/>
    </w:rPr>
  </w:style>
  <w:style w:type="paragraph" w:customStyle="1" w:styleId="Default">
    <w:name w:val="Default"/>
    <w:rsid w:val="00B906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vised-statutory-guidance-for-the-conduct-of-domestic-homicide-review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epingadultssafeinshropshire.org.uk/safeguarding-adult-review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stmidlands.procedures.org.uk/ykpzl/statutory-child-protection-procedures/additional-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CPBusinessUnit@shrop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7" ma:contentTypeDescription="Create a new document." ma:contentTypeScope="" ma:versionID="f6f22703f0a386aa3136c7c87ce79c60">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d6fb9f35646ef2b797f5bd322d761029"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9aa69-a426-41ff-a90b-989f60903a80}" ma:internalName="TaxCatchAll" ma:showField="CatchAllData" ma:web="0ba1dc7b-d825-410b-8076-85f10e5c3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e49bb-cf0a-4122-9119-2fd8f82facb0">
      <Terms xmlns="http://schemas.microsoft.com/office/infopath/2007/PartnerControls"/>
    </lcf76f155ced4ddcb4097134ff3c332f>
    <TaxCatchAll xmlns="0ba1dc7b-d825-410b-8076-85f10e5c34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C288D8-5180-4AD3-AE0B-6F5354E03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792D0-F99A-42ED-A5DB-F91FD4746D40}">
  <ds:schemaRefs>
    <ds:schemaRef ds:uri="http://schemas.openxmlformats.org/officeDocument/2006/bibliography"/>
  </ds:schemaRefs>
</ds:datastoreItem>
</file>

<file path=customXml/itemProps3.xml><?xml version="1.0" encoding="utf-8"?>
<ds:datastoreItem xmlns:ds="http://schemas.openxmlformats.org/officeDocument/2006/customXml" ds:itemID="{64299B38-AD6A-491F-90A1-A251E27C4F88}">
  <ds:schemaRefs>
    <ds:schemaRef ds:uri="http://schemas.microsoft.com/office/2006/metadata/properties"/>
    <ds:schemaRef ds:uri="http://schemas.microsoft.com/office/infopath/2007/PartnerControls"/>
    <ds:schemaRef ds:uri="71ce49bb-cf0a-4122-9119-2fd8f82facb0"/>
    <ds:schemaRef ds:uri="0ba1dc7b-d825-410b-8076-85f10e5c34b6"/>
  </ds:schemaRefs>
</ds:datastoreItem>
</file>

<file path=customXml/itemProps4.xml><?xml version="1.0" encoding="utf-8"?>
<ds:datastoreItem xmlns:ds="http://schemas.openxmlformats.org/officeDocument/2006/customXml" ds:itemID="{CA9CE3B4-8557-4A1C-B496-1B4340F04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4</DocSecurity>
  <Lines>34</Lines>
  <Paragraphs>9</Paragraphs>
  <ScaleCrop>false</ScaleCrop>
  <Company>Hoople Ltd</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Turton, Adrian</dc:creator>
  <cp:keywords/>
  <dc:description/>
  <cp:lastModifiedBy>CC77981</cp:lastModifiedBy>
  <cp:revision>2</cp:revision>
  <cp:lastPrinted>2019-04-11T10:06:00Z</cp:lastPrinted>
  <dcterms:created xsi:type="dcterms:W3CDTF">2022-07-25T15:58:00Z</dcterms:created>
  <dcterms:modified xsi:type="dcterms:W3CDTF">2022-07-25T15:58:00Z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y fmtid="{D5CDD505-2E9C-101B-9397-08002B2CF9AE}" pid="3" name="MediaServiceImageTags">
    <vt:lpwstr/>
  </property>
</Properties>
</file>